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3F099" w14:textId="4D5307BB" w:rsidR="00F030A3" w:rsidRDefault="007B57B3" w:rsidP="00C83533">
      <w:pPr>
        <w:jc w:val="center"/>
      </w:pPr>
      <w:r w:rsidRPr="00FE53A1">
        <w:rPr>
          <w:noProof/>
        </w:rPr>
        <w:drawing>
          <wp:inline distT="0" distB="0" distL="0" distR="0" wp14:anchorId="4D57C307" wp14:editId="6344468A">
            <wp:extent cx="6578600" cy="685800"/>
            <wp:effectExtent l="0" t="0" r="0" b="0"/>
            <wp:docPr id="1" name="Picture 1" descr="/Users/bcopel3/Desktop/EU_BuildingInterdisciplinaryResearchCareersWomensHealth_BrittneyCopeland/horizontal/jpg and png/EU_BuildingInterdiscplinaryResearchCareersWomensHealth_hz_280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copel3/Desktop/EU_BuildingInterdisciplinaryResearchCareersWomensHealth_BrittneyCopeland/horizontal/jpg and png/EU_BuildingInterdiscplinaryResearchCareersWomensHealth_hz_280b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85C88" w14:textId="77777777" w:rsidR="002437E6" w:rsidRPr="00C12D04" w:rsidRDefault="002437E6" w:rsidP="00C8353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62D547E" w14:textId="688995E3" w:rsidR="00E13A24" w:rsidRDefault="00F030A3" w:rsidP="4940CF1C">
      <w:pPr>
        <w:jc w:val="center"/>
        <w:rPr>
          <w:rFonts w:ascii="Arial" w:hAnsi="Arial" w:cs="Arial"/>
          <w:b/>
          <w:bCs/>
          <w:color w:val="334651"/>
          <w:sz w:val="28"/>
          <w:szCs w:val="28"/>
        </w:rPr>
      </w:pPr>
      <w:r w:rsidRPr="4940CF1C">
        <w:rPr>
          <w:rFonts w:ascii="Arial" w:hAnsi="Arial" w:cs="Arial"/>
          <w:b/>
          <w:bCs/>
          <w:color w:val="000000" w:themeColor="text1"/>
          <w:sz w:val="28"/>
          <w:szCs w:val="28"/>
        </w:rPr>
        <w:t>REQUEST FOR APPLICATIONS</w:t>
      </w:r>
    </w:p>
    <w:p w14:paraId="74A4951D" w14:textId="4647BEAC" w:rsidR="00E13A24" w:rsidRPr="00E13A24" w:rsidRDefault="00E13A24" w:rsidP="4940CF1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4940CF1C">
        <w:rPr>
          <w:rFonts w:ascii="Arial" w:hAnsi="Arial" w:cs="Arial"/>
          <w:b/>
          <w:bCs/>
          <w:color w:val="FF0000"/>
          <w:sz w:val="28"/>
          <w:szCs w:val="28"/>
        </w:rPr>
        <w:t xml:space="preserve">DEADLINE 5:00 p.m. </w:t>
      </w:r>
      <w:r w:rsidR="007229E5" w:rsidRPr="4940CF1C">
        <w:rPr>
          <w:rFonts w:ascii="Arial" w:hAnsi="Arial" w:cs="Arial"/>
          <w:b/>
          <w:bCs/>
          <w:color w:val="FF0000"/>
          <w:sz w:val="28"/>
          <w:szCs w:val="28"/>
        </w:rPr>
        <w:t>Fe</w:t>
      </w:r>
      <w:r w:rsidR="008D592B" w:rsidRPr="4940CF1C">
        <w:rPr>
          <w:rFonts w:ascii="Arial" w:hAnsi="Arial" w:cs="Arial"/>
          <w:b/>
          <w:bCs/>
          <w:color w:val="FF0000"/>
          <w:sz w:val="28"/>
          <w:szCs w:val="28"/>
        </w:rPr>
        <w:t>bruary</w:t>
      </w:r>
      <w:r w:rsidRPr="4940CF1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07651B">
        <w:rPr>
          <w:rFonts w:ascii="Arial" w:hAnsi="Arial" w:cs="Arial"/>
          <w:b/>
          <w:bCs/>
          <w:color w:val="FF0000"/>
          <w:sz w:val="28"/>
          <w:szCs w:val="28"/>
        </w:rPr>
        <w:t>2</w:t>
      </w:r>
      <w:r w:rsidRPr="4940CF1C">
        <w:rPr>
          <w:rFonts w:ascii="Arial" w:hAnsi="Arial" w:cs="Arial"/>
          <w:b/>
          <w:bCs/>
          <w:color w:val="FF0000"/>
          <w:sz w:val="28"/>
          <w:szCs w:val="28"/>
        </w:rPr>
        <w:t>, 202</w:t>
      </w:r>
      <w:r w:rsidR="00113466">
        <w:rPr>
          <w:rFonts w:ascii="Arial" w:hAnsi="Arial" w:cs="Arial"/>
          <w:b/>
          <w:bCs/>
          <w:color w:val="FF0000"/>
          <w:sz w:val="28"/>
          <w:szCs w:val="28"/>
        </w:rPr>
        <w:t>6</w:t>
      </w:r>
    </w:p>
    <w:p w14:paraId="4B2D04BF" w14:textId="3EBD41F0" w:rsidR="00E13A24" w:rsidRDefault="70570F75" w:rsidP="4940CF1C">
      <w:pPr>
        <w:jc w:val="center"/>
        <w:rPr>
          <w:rFonts w:ascii="Arial" w:eastAsia="Arial" w:hAnsi="Arial" w:cs="Arial"/>
          <w:sz w:val="28"/>
          <w:szCs w:val="28"/>
        </w:rPr>
      </w:pPr>
      <w:r w:rsidRPr="4940CF1C">
        <w:rPr>
          <w:rFonts w:ascii="Arial" w:eastAsia="Arial" w:hAnsi="Arial" w:cs="Arial"/>
          <w:sz w:val="28"/>
          <w:szCs w:val="28"/>
        </w:rPr>
        <w:t xml:space="preserve"> </w:t>
      </w:r>
    </w:p>
    <w:p w14:paraId="3962CEF5" w14:textId="2796DC2C" w:rsidR="00743BF4" w:rsidRDefault="70570F75" w:rsidP="4940CF1C">
      <w:pPr>
        <w:rPr>
          <w:rFonts w:ascii="Arial" w:eastAsia="Arial" w:hAnsi="Arial" w:cs="Arial"/>
          <w:b/>
          <w:bCs/>
          <w:color w:val="7030A0"/>
          <w:sz w:val="22"/>
          <w:szCs w:val="22"/>
        </w:rPr>
      </w:pPr>
      <w:r w:rsidRPr="4940CF1C">
        <w:rPr>
          <w:rFonts w:ascii="Arial" w:eastAsia="Arial" w:hAnsi="Arial" w:cs="Arial"/>
          <w:b/>
          <w:bCs/>
          <w:color w:val="7030A0"/>
          <w:sz w:val="22"/>
          <w:szCs w:val="22"/>
        </w:rPr>
        <w:t xml:space="preserve">Two-part </w:t>
      </w:r>
      <w:r w:rsidR="60C8E1C6" w:rsidRPr="4940CF1C">
        <w:rPr>
          <w:rFonts w:ascii="Arial" w:eastAsia="Arial" w:hAnsi="Arial" w:cs="Arial"/>
          <w:b/>
          <w:bCs/>
          <w:color w:val="7030A0"/>
          <w:sz w:val="22"/>
          <w:szCs w:val="22"/>
        </w:rPr>
        <w:t>BIRCWH/</w:t>
      </w:r>
      <w:r w:rsidRPr="4940CF1C">
        <w:rPr>
          <w:rFonts w:ascii="Arial" w:eastAsia="Arial" w:hAnsi="Arial" w:cs="Arial"/>
          <w:b/>
          <w:bCs/>
          <w:color w:val="7030A0"/>
          <w:sz w:val="22"/>
          <w:szCs w:val="22"/>
        </w:rPr>
        <w:t>KL2 Application Workshop: Thursday, October 1</w:t>
      </w:r>
      <w:r w:rsidR="00223A03">
        <w:rPr>
          <w:rFonts w:ascii="Arial" w:eastAsia="Arial" w:hAnsi="Arial" w:cs="Arial"/>
          <w:b/>
          <w:bCs/>
          <w:color w:val="7030A0"/>
          <w:sz w:val="22"/>
          <w:szCs w:val="22"/>
        </w:rPr>
        <w:t>6</w:t>
      </w:r>
      <w:r w:rsidR="00223A03" w:rsidRPr="00151671">
        <w:rPr>
          <w:rFonts w:ascii="Arial" w:eastAsia="Arial" w:hAnsi="Arial" w:cs="Arial"/>
          <w:b/>
          <w:bCs/>
          <w:color w:val="7030A0"/>
          <w:sz w:val="22"/>
          <w:szCs w:val="22"/>
          <w:vertAlign w:val="superscript"/>
        </w:rPr>
        <w:t>t</w:t>
      </w:r>
      <w:r w:rsidR="00223A03" w:rsidRPr="00223A03">
        <w:rPr>
          <w:rFonts w:ascii="Arial" w:eastAsia="Arial" w:hAnsi="Arial" w:cs="Arial"/>
          <w:b/>
          <w:bCs/>
          <w:color w:val="7030A0"/>
          <w:sz w:val="22"/>
          <w:szCs w:val="22"/>
          <w:vertAlign w:val="superscript"/>
        </w:rPr>
        <w:t>h</w:t>
      </w:r>
      <w:r w:rsidRPr="4940CF1C">
        <w:rPr>
          <w:rFonts w:ascii="Arial" w:eastAsia="Arial" w:hAnsi="Arial" w:cs="Arial"/>
          <w:b/>
          <w:bCs/>
          <w:color w:val="7030A0"/>
          <w:sz w:val="22"/>
          <w:szCs w:val="22"/>
        </w:rPr>
        <w:t xml:space="preserve"> and Thursday, October 2</w:t>
      </w:r>
      <w:r w:rsidR="00223A03">
        <w:rPr>
          <w:rFonts w:ascii="Arial" w:eastAsia="Arial" w:hAnsi="Arial" w:cs="Arial"/>
          <w:b/>
          <w:bCs/>
          <w:color w:val="7030A0"/>
          <w:sz w:val="22"/>
          <w:szCs w:val="22"/>
        </w:rPr>
        <w:t>3</w:t>
      </w:r>
      <w:r w:rsidR="00223A03" w:rsidRPr="00223A03">
        <w:rPr>
          <w:rFonts w:ascii="Arial" w:eastAsia="Arial" w:hAnsi="Arial" w:cs="Arial"/>
          <w:b/>
          <w:bCs/>
          <w:color w:val="7030A0"/>
          <w:sz w:val="22"/>
          <w:szCs w:val="22"/>
          <w:vertAlign w:val="superscript"/>
        </w:rPr>
        <w:t>rd</w:t>
      </w:r>
      <w:r w:rsidR="00223A03">
        <w:rPr>
          <w:rFonts w:ascii="Arial" w:eastAsia="Arial" w:hAnsi="Arial" w:cs="Arial"/>
          <w:b/>
          <w:bCs/>
          <w:color w:val="7030A0"/>
          <w:sz w:val="22"/>
          <w:szCs w:val="22"/>
        </w:rPr>
        <w:t xml:space="preserve"> </w:t>
      </w:r>
      <w:r w:rsidRPr="4940CF1C">
        <w:rPr>
          <w:rFonts w:ascii="Arial" w:eastAsia="Arial" w:hAnsi="Arial" w:cs="Arial"/>
          <w:b/>
          <w:bCs/>
          <w:color w:val="7030A0"/>
          <w:sz w:val="22"/>
          <w:szCs w:val="22"/>
        </w:rPr>
        <w:t>from 9:30 to 11:30am in-person</w:t>
      </w:r>
      <w:r w:rsidR="00743BF4">
        <w:rPr>
          <w:rFonts w:ascii="Arial" w:eastAsia="Arial" w:hAnsi="Arial" w:cs="Arial"/>
          <w:b/>
          <w:bCs/>
          <w:color w:val="7030A0"/>
          <w:sz w:val="22"/>
          <w:szCs w:val="22"/>
        </w:rPr>
        <w:t xml:space="preserve">.  </w:t>
      </w:r>
      <w:r w:rsidR="70355CC7" w:rsidRPr="4940CF1C">
        <w:rPr>
          <w:rFonts w:ascii="Arial" w:eastAsia="Arial" w:hAnsi="Arial" w:cs="Arial"/>
          <w:b/>
          <w:bCs/>
          <w:color w:val="7030A0"/>
          <w:sz w:val="22"/>
          <w:szCs w:val="22"/>
        </w:rPr>
        <w:t>A</w:t>
      </w:r>
      <w:r w:rsidRPr="4940CF1C">
        <w:rPr>
          <w:rFonts w:ascii="Arial" w:eastAsia="Arial" w:hAnsi="Arial" w:cs="Arial"/>
          <w:b/>
          <w:bCs/>
          <w:color w:val="7030A0"/>
          <w:sz w:val="22"/>
          <w:szCs w:val="22"/>
        </w:rPr>
        <w:t xml:space="preserve">pplicants are highly encouraged to </w:t>
      </w:r>
      <w:proofErr w:type="gramStart"/>
      <w:r w:rsidRPr="4940CF1C">
        <w:rPr>
          <w:rFonts w:ascii="Arial" w:eastAsia="Arial" w:hAnsi="Arial" w:cs="Arial"/>
          <w:b/>
          <w:bCs/>
          <w:color w:val="7030A0"/>
          <w:sz w:val="22"/>
          <w:szCs w:val="22"/>
        </w:rPr>
        <w:t>attend.</w:t>
      </w:r>
      <w:r w:rsidR="00743BF4">
        <w:rPr>
          <w:rFonts w:ascii="Arial" w:eastAsia="Arial" w:hAnsi="Arial" w:cs="Arial"/>
          <w:b/>
          <w:bCs/>
          <w:color w:val="7030A0"/>
          <w:sz w:val="22"/>
          <w:szCs w:val="22"/>
        </w:rPr>
        <w:t>*</w:t>
      </w:r>
      <w:proofErr w:type="gramEnd"/>
    </w:p>
    <w:p w14:paraId="0801F79F" w14:textId="77777777" w:rsidR="00743BF4" w:rsidRDefault="00743BF4" w:rsidP="4940CF1C">
      <w:pPr>
        <w:rPr>
          <w:rFonts w:ascii="Arial" w:eastAsia="Arial" w:hAnsi="Arial" w:cs="Arial"/>
          <w:b/>
          <w:bCs/>
          <w:color w:val="7030A0"/>
          <w:sz w:val="22"/>
          <w:szCs w:val="22"/>
        </w:rPr>
      </w:pPr>
    </w:p>
    <w:p w14:paraId="07C5447C" w14:textId="6189525C" w:rsidR="00E13A24" w:rsidRDefault="70570F75" w:rsidP="4940CF1C">
      <w:pPr>
        <w:rPr>
          <w:rFonts w:ascii="Arial" w:eastAsia="Arial" w:hAnsi="Arial" w:cs="Arial"/>
          <w:b/>
          <w:bCs/>
          <w:color w:val="5B9BD5" w:themeColor="accent1"/>
          <w:sz w:val="22"/>
          <w:szCs w:val="22"/>
        </w:rPr>
      </w:pPr>
      <w:r w:rsidRPr="4940CF1C">
        <w:rPr>
          <w:rFonts w:ascii="Arial" w:eastAsia="Arial" w:hAnsi="Arial" w:cs="Arial"/>
          <w:b/>
          <w:bCs/>
          <w:color w:val="7030A0"/>
          <w:sz w:val="22"/>
          <w:szCs w:val="22"/>
        </w:rPr>
        <w:t>*Those who attend BOTH parts will be eligible for up to 5 hours of individual grant writing consultation with Dr. Janet Gross. For more information and to register, visit</w:t>
      </w:r>
      <w:r w:rsidRPr="4940CF1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4940CF1C">
        <w:rPr>
          <w:rFonts w:ascii="Arial" w:eastAsia="Arial" w:hAnsi="Arial" w:cs="Arial"/>
          <w:b/>
          <w:bCs/>
          <w:color w:val="5B9BD5" w:themeColor="accent1"/>
          <w:sz w:val="22"/>
          <w:szCs w:val="22"/>
        </w:rPr>
        <w:t xml:space="preserve">https://form.jotform.com/242476360042148 </w:t>
      </w:r>
    </w:p>
    <w:p w14:paraId="10251E33" w14:textId="3E9FB09A" w:rsidR="00F030A3" w:rsidRPr="00C12D04" w:rsidRDefault="00F030A3" w:rsidP="4940CF1C">
      <w:pPr>
        <w:jc w:val="center"/>
        <w:rPr>
          <w:rFonts w:ascii="Arial" w:hAnsi="Arial" w:cs="Arial"/>
          <w:b/>
          <w:bCs/>
          <w:color w:val="C00000"/>
        </w:rPr>
      </w:pPr>
    </w:p>
    <w:p w14:paraId="7B043B4D" w14:textId="77777777" w:rsidR="00F030A3" w:rsidRPr="00C12D04" w:rsidRDefault="00F030A3" w:rsidP="00F030A3">
      <w:pPr>
        <w:rPr>
          <w:rFonts w:ascii="Arial" w:hAnsi="Arial" w:cs="Arial"/>
          <w:b/>
          <w:color w:val="000000"/>
          <w:sz w:val="22"/>
          <w:szCs w:val="22"/>
        </w:rPr>
      </w:pPr>
      <w:r w:rsidRPr="00C12D04">
        <w:rPr>
          <w:rFonts w:ascii="Arial" w:hAnsi="Arial" w:cs="Arial"/>
          <w:b/>
          <w:color w:val="000000"/>
          <w:sz w:val="22"/>
          <w:szCs w:val="22"/>
        </w:rPr>
        <w:t>Emory BIRCWH Program</w:t>
      </w:r>
    </w:p>
    <w:p w14:paraId="17C9D773" w14:textId="59068F1A" w:rsidR="00C66BEF" w:rsidRPr="00C12D04" w:rsidRDefault="005105D4" w:rsidP="001E6149">
      <w:pPr>
        <w:spacing w:before="120" w:after="120"/>
        <w:rPr>
          <w:rFonts w:ascii="Arial" w:hAnsi="Arial" w:cs="Arial"/>
          <w:sz w:val="22"/>
          <w:szCs w:val="22"/>
        </w:rPr>
      </w:pPr>
      <w:r w:rsidRPr="00C12D04">
        <w:rPr>
          <w:rFonts w:ascii="Arial" w:hAnsi="Arial" w:cs="Arial"/>
          <w:sz w:val="22"/>
          <w:szCs w:val="22"/>
        </w:rPr>
        <w:t xml:space="preserve">The Emory BIRCWH program, short for Building Interdisciplinary Research Careers in Women's Health, is a highly selective career development program for junior faculty interested in women's health research and/or sex/gender science. The </w:t>
      </w:r>
      <w:proofErr w:type="gramStart"/>
      <w:r w:rsidRPr="00C12D04">
        <w:rPr>
          <w:rFonts w:ascii="Arial" w:hAnsi="Arial" w:cs="Arial"/>
          <w:sz w:val="22"/>
          <w:szCs w:val="22"/>
        </w:rPr>
        <w:t>ultimate goal</w:t>
      </w:r>
      <w:proofErr w:type="gramEnd"/>
      <w:r w:rsidRPr="00C12D04">
        <w:rPr>
          <w:rFonts w:ascii="Arial" w:hAnsi="Arial" w:cs="Arial"/>
          <w:sz w:val="22"/>
          <w:szCs w:val="22"/>
        </w:rPr>
        <w:t xml:space="preserve"> </w:t>
      </w:r>
      <w:r w:rsidR="00C66BEF" w:rsidRPr="00C12D04">
        <w:rPr>
          <w:rFonts w:ascii="Arial" w:hAnsi="Arial" w:cs="Arial"/>
          <w:sz w:val="22"/>
          <w:szCs w:val="22"/>
        </w:rPr>
        <w:t xml:space="preserve">of the BIRCWH program </w:t>
      </w:r>
      <w:r w:rsidRPr="00C12D04">
        <w:rPr>
          <w:rFonts w:ascii="Arial" w:hAnsi="Arial" w:cs="Arial"/>
          <w:sz w:val="22"/>
          <w:szCs w:val="22"/>
        </w:rPr>
        <w:t xml:space="preserve">is to </w:t>
      </w:r>
      <w:r w:rsidR="00C66BEF" w:rsidRPr="00C12D04">
        <w:rPr>
          <w:rFonts w:ascii="Arial" w:hAnsi="Arial" w:cs="Arial"/>
          <w:sz w:val="22"/>
          <w:szCs w:val="22"/>
        </w:rPr>
        <w:t>train junior faculty, through a mentored research and career development experience, to become independent investigators who use novel, interdisciplinary approaches to advance the science of women’s health and sex/gender</w:t>
      </w:r>
      <w:r w:rsidR="008B6644" w:rsidRPr="00C12D04">
        <w:rPr>
          <w:rFonts w:ascii="Arial" w:hAnsi="Arial" w:cs="Arial"/>
          <w:sz w:val="22"/>
          <w:szCs w:val="22"/>
        </w:rPr>
        <w:t xml:space="preserve"> research. </w:t>
      </w:r>
    </w:p>
    <w:p w14:paraId="5FFDA051" w14:textId="69A806F8" w:rsidR="008B6644" w:rsidRPr="00C12D04" w:rsidRDefault="001E6149" w:rsidP="006354EC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Communicable </w:t>
      </w:r>
      <w:r w:rsidR="008B6644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>disease research (</w:t>
      </w:r>
      <w:r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HIV/AIDS, </w:t>
      </w:r>
      <w:r w:rsidR="00350E53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>TB</w:t>
      </w:r>
      <w:r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>, malaria, influenza, HCV/HBV, bacterial and fungal diseases, antimicrobial resistance, etc.) is an area of fo</w:t>
      </w:r>
      <w:r w:rsidR="003B1B1D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cus for the </w:t>
      </w:r>
      <w:r w:rsidR="00FA51E0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Emory </w:t>
      </w:r>
      <w:r w:rsidR="003B1B1D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>BIRCWH program.  However,</w:t>
      </w:r>
      <w:r w:rsidR="00350E53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6B7671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>compelling</w:t>
      </w:r>
      <w:r w:rsidR="00245629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350E53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>applications outside these areas</w:t>
      </w:r>
      <w:r w:rsidR="006B7671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>,</w:t>
      </w:r>
      <w:r w:rsidR="00350E53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but aligned with</w:t>
      </w:r>
      <w:r w:rsidR="00E77C13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the BIRCWH </w:t>
      </w:r>
      <w:r w:rsidR="00387107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>research objective</w:t>
      </w:r>
      <w:r w:rsidR="00350E53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>s</w:t>
      </w:r>
      <w:r w:rsidR="006B7671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>,</w:t>
      </w:r>
      <w:r w:rsidR="003B1B1D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will also be considered.</w:t>
      </w:r>
    </w:p>
    <w:p w14:paraId="2668C676" w14:textId="77777777" w:rsidR="008B6644" w:rsidRPr="00C12D04" w:rsidRDefault="008B6644" w:rsidP="006354EC">
      <w:pPr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53C814BE" w14:textId="190EA54D" w:rsidR="001E6149" w:rsidRPr="00C12D04" w:rsidRDefault="008B6644" w:rsidP="006354EC">
      <w:pPr>
        <w:rPr>
          <w:rFonts w:ascii="Arial" w:eastAsia="Times New Roman" w:hAnsi="Arial" w:cs="Arial"/>
          <w:sz w:val="22"/>
          <w:szCs w:val="22"/>
        </w:rPr>
      </w:pPr>
      <w:r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To learn more about BIRCWH, </w:t>
      </w:r>
      <w:r w:rsidR="00666222"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please </w:t>
      </w:r>
      <w:r w:rsidRPr="00C12D0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visit our website at </w:t>
      </w:r>
      <w:hyperlink r:id="rId9" w:history="1">
        <w:r w:rsidR="00666222" w:rsidRPr="00C12D04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</w:rPr>
          <w:t>www.bircwh.emory.edu</w:t>
        </w:r>
      </w:hyperlink>
      <w:r w:rsidR="00666222" w:rsidRPr="00C12D04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14:paraId="00BB3A61" w14:textId="77777777" w:rsidR="008B6644" w:rsidRPr="00C12D04" w:rsidRDefault="003B1B1D" w:rsidP="008B6644">
      <w:pPr>
        <w:spacing w:before="120" w:after="120"/>
        <w:rPr>
          <w:rFonts w:ascii="Arial" w:hAnsi="Arial" w:cs="Arial"/>
          <w:sz w:val="22"/>
          <w:szCs w:val="22"/>
        </w:rPr>
      </w:pPr>
      <w:r w:rsidRPr="00C12D04">
        <w:rPr>
          <w:rFonts w:ascii="Arial" w:hAnsi="Arial" w:cs="Arial"/>
          <w:b/>
          <w:sz w:val="22"/>
          <w:szCs w:val="22"/>
        </w:rPr>
        <w:t>BIRCWH Scholars</w:t>
      </w:r>
      <w:r w:rsidR="008B6644" w:rsidRPr="00C12D04">
        <w:rPr>
          <w:rFonts w:ascii="Arial" w:hAnsi="Arial" w:cs="Arial"/>
          <w:sz w:val="22"/>
          <w:szCs w:val="22"/>
        </w:rPr>
        <w:t xml:space="preserve"> </w:t>
      </w:r>
    </w:p>
    <w:p w14:paraId="6F7031BA" w14:textId="366009B8" w:rsidR="008B6644" w:rsidRPr="00C12D04" w:rsidRDefault="008B6644" w:rsidP="008B6644">
      <w:pPr>
        <w:spacing w:before="120" w:after="120"/>
        <w:rPr>
          <w:rFonts w:ascii="Arial" w:hAnsi="Arial" w:cs="Arial"/>
          <w:sz w:val="22"/>
          <w:szCs w:val="22"/>
        </w:rPr>
      </w:pPr>
      <w:r w:rsidRPr="00C12D04">
        <w:rPr>
          <w:rFonts w:ascii="Arial" w:hAnsi="Arial" w:cs="Arial"/>
          <w:sz w:val="22"/>
          <w:szCs w:val="22"/>
        </w:rPr>
        <w:t xml:space="preserve">Each year, BIRCWH scholars receive salary support to enable them to spend at least 75% of their professional time </w:t>
      </w:r>
      <w:r w:rsidR="006B69D9" w:rsidRPr="00C12D04">
        <w:rPr>
          <w:rFonts w:ascii="Arial" w:hAnsi="Arial" w:cs="Arial"/>
          <w:sz w:val="22"/>
          <w:szCs w:val="22"/>
        </w:rPr>
        <w:t xml:space="preserve">(50% is allowed for trainees from surgery or surgical subspecialties) </w:t>
      </w:r>
      <w:r w:rsidRPr="00C12D04">
        <w:rPr>
          <w:rFonts w:ascii="Arial" w:hAnsi="Arial" w:cs="Arial"/>
          <w:sz w:val="22"/>
          <w:szCs w:val="22"/>
        </w:rPr>
        <w:t>on research training and a $</w:t>
      </w:r>
      <w:r w:rsidR="00BD1D2E">
        <w:rPr>
          <w:rFonts w:ascii="Arial" w:hAnsi="Arial" w:cs="Arial"/>
          <w:sz w:val="22"/>
          <w:szCs w:val="22"/>
        </w:rPr>
        <w:t>4</w:t>
      </w:r>
      <w:r w:rsidR="00E42C96">
        <w:rPr>
          <w:rFonts w:ascii="Arial" w:hAnsi="Arial" w:cs="Arial"/>
          <w:sz w:val="22"/>
          <w:szCs w:val="22"/>
        </w:rPr>
        <w:t>0</w:t>
      </w:r>
      <w:r w:rsidRPr="00C12D04">
        <w:rPr>
          <w:rFonts w:ascii="Arial" w:hAnsi="Arial" w:cs="Arial"/>
          <w:sz w:val="22"/>
          <w:szCs w:val="22"/>
        </w:rPr>
        <w:t xml:space="preserve">,000 technical budget for research-related expenses </w:t>
      </w:r>
      <w:r w:rsidR="00E42C96">
        <w:rPr>
          <w:rFonts w:ascii="Arial" w:hAnsi="Arial" w:cs="Arial"/>
          <w:sz w:val="22"/>
          <w:szCs w:val="22"/>
        </w:rPr>
        <w:t xml:space="preserve">and </w:t>
      </w:r>
      <w:r w:rsidR="00CB3591">
        <w:rPr>
          <w:rFonts w:ascii="Arial" w:hAnsi="Arial" w:cs="Arial"/>
          <w:sz w:val="22"/>
          <w:szCs w:val="22"/>
        </w:rPr>
        <w:t xml:space="preserve">a </w:t>
      </w:r>
      <w:r w:rsidR="00E42C96">
        <w:rPr>
          <w:rFonts w:ascii="Arial" w:hAnsi="Arial" w:cs="Arial"/>
          <w:sz w:val="22"/>
          <w:szCs w:val="22"/>
        </w:rPr>
        <w:t>$3000 budget for conference travel</w:t>
      </w:r>
      <w:r w:rsidRPr="00C12D04">
        <w:rPr>
          <w:rFonts w:ascii="Arial" w:hAnsi="Arial" w:cs="Arial"/>
          <w:sz w:val="22"/>
          <w:szCs w:val="22"/>
        </w:rPr>
        <w:t xml:space="preserve">. Support in the program is provided for two years and is based on program performance. </w:t>
      </w:r>
    </w:p>
    <w:p w14:paraId="4D316EB8" w14:textId="27724C53" w:rsidR="00666222" w:rsidRPr="00C12D04" w:rsidRDefault="008B6644" w:rsidP="008B6644">
      <w:pPr>
        <w:spacing w:before="120" w:after="120"/>
        <w:rPr>
          <w:rFonts w:ascii="Arial" w:hAnsi="Arial" w:cs="Arial"/>
          <w:i/>
          <w:sz w:val="22"/>
          <w:szCs w:val="22"/>
        </w:rPr>
      </w:pPr>
      <w:r w:rsidRPr="00C12D04">
        <w:rPr>
          <w:rFonts w:ascii="Arial" w:hAnsi="Arial" w:cs="Arial"/>
          <w:i/>
          <w:sz w:val="22"/>
          <w:szCs w:val="22"/>
        </w:rPr>
        <w:t>Each BIRCWH scholar must submit a mandatory Career Development NIH K Award (e.g. K23, K01, K08) or equivalent grant application within the first 12</w:t>
      </w:r>
      <w:r w:rsidR="00FD41ED">
        <w:rPr>
          <w:rFonts w:ascii="Arial" w:hAnsi="Arial" w:cs="Arial"/>
          <w:i/>
          <w:sz w:val="22"/>
          <w:szCs w:val="22"/>
        </w:rPr>
        <w:t xml:space="preserve"> months</w:t>
      </w:r>
      <w:r w:rsidRPr="00C12D04">
        <w:rPr>
          <w:rFonts w:ascii="Arial" w:hAnsi="Arial" w:cs="Arial"/>
          <w:i/>
          <w:sz w:val="22"/>
          <w:szCs w:val="22"/>
        </w:rPr>
        <w:t xml:space="preserve"> of program participation.</w:t>
      </w:r>
    </w:p>
    <w:p w14:paraId="3DD0B223" w14:textId="5EC730B6" w:rsidR="003B1B1D" w:rsidRPr="00C12D04" w:rsidRDefault="008B6644" w:rsidP="001E6149">
      <w:pPr>
        <w:spacing w:before="120" w:after="120"/>
        <w:rPr>
          <w:rFonts w:ascii="Arial" w:hAnsi="Arial" w:cs="Arial"/>
          <w:sz w:val="22"/>
          <w:szCs w:val="22"/>
        </w:rPr>
      </w:pPr>
      <w:r w:rsidRPr="00C12D04">
        <w:rPr>
          <w:rFonts w:ascii="Arial" w:hAnsi="Arial" w:cs="Arial"/>
          <w:b/>
          <w:sz w:val="22"/>
          <w:szCs w:val="22"/>
        </w:rPr>
        <w:t>Eligibility</w:t>
      </w:r>
      <w:r w:rsidR="0075648C" w:rsidRPr="00C12D04">
        <w:rPr>
          <w:rFonts w:ascii="Arial" w:hAnsi="Arial" w:cs="Arial"/>
          <w:sz w:val="22"/>
          <w:szCs w:val="22"/>
        </w:rPr>
        <w:t xml:space="preserve"> </w:t>
      </w:r>
      <w:r w:rsidR="0075648C" w:rsidRPr="00C12D04">
        <w:rPr>
          <w:rFonts w:ascii="Arial" w:hAnsi="Arial" w:cs="Arial"/>
          <w:b/>
          <w:sz w:val="22"/>
          <w:szCs w:val="22"/>
        </w:rPr>
        <w:t>Requirements</w:t>
      </w:r>
      <w:r w:rsidR="0075648C" w:rsidRPr="00C12D04">
        <w:rPr>
          <w:rFonts w:ascii="Arial" w:hAnsi="Arial" w:cs="Arial"/>
          <w:sz w:val="22"/>
          <w:szCs w:val="22"/>
        </w:rPr>
        <w:t xml:space="preserve">-- </w:t>
      </w:r>
      <w:r w:rsidRPr="00C12D04">
        <w:rPr>
          <w:rFonts w:ascii="Arial" w:hAnsi="Arial" w:cs="Arial"/>
          <w:b/>
          <w:sz w:val="22"/>
          <w:szCs w:val="22"/>
        </w:rPr>
        <w:t>Each candidate must:</w:t>
      </w:r>
    </w:p>
    <w:p w14:paraId="5EDF0D8C" w14:textId="15AA29DC" w:rsidR="006354EC" w:rsidRPr="00C12D04" w:rsidRDefault="006354EC" w:rsidP="00EB304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12D04">
        <w:rPr>
          <w:rFonts w:ascii="Arial" w:hAnsi="Arial" w:cs="Arial"/>
          <w:sz w:val="22"/>
          <w:szCs w:val="22"/>
        </w:rPr>
        <w:t xml:space="preserve">be junior faculty at MD or PhD level at Emory </w:t>
      </w:r>
      <w:r w:rsidR="00654F5C" w:rsidRPr="00C12D04">
        <w:rPr>
          <w:rFonts w:ascii="Arial" w:hAnsi="Arial" w:cs="Arial"/>
          <w:sz w:val="22"/>
          <w:szCs w:val="22"/>
        </w:rPr>
        <w:t>University</w:t>
      </w:r>
      <w:r w:rsidR="00654F5C">
        <w:rPr>
          <w:rFonts w:ascii="Arial" w:hAnsi="Arial" w:cs="Arial"/>
          <w:sz w:val="22"/>
          <w:szCs w:val="22"/>
        </w:rPr>
        <w:t>;</w:t>
      </w:r>
    </w:p>
    <w:p w14:paraId="2E178C34" w14:textId="77777777" w:rsidR="006354EC" w:rsidRPr="00C12D04" w:rsidRDefault="006354EC" w:rsidP="00EB304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12D04">
        <w:rPr>
          <w:rFonts w:ascii="Arial" w:hAnsi="Arial" w:cs="Arial"/>
          <w:sz w:val="22"/>
          <w:szCs w:val="22"/>
        </w:rPr>
        <w:t>have completed postgraduate training normally expected for a faculty appointment (including clinical or po</w:t>
      </w:r>
      <w:r w:rsidR="000B0353" w:rsidRPr="00C12D04">
        <w:rPr>
          <w:rFonts w:ascii="Arial" w:hAnsi="Arial" w:cs="Arial"/>
          <w:sz w:val="22"/>
          <w:szCs w:val="22"/>
        </w:rPr>
        <w:t xml:space="preserve">stdoctoral fellowship training </w:t>
      </w:r>
      <w:r w:rsidRPr="00C12D04">
        <w:rPr>
          <w:rFonts w:ascii="Arial" w:hAnsi="Arial" w:cs="Arial"/>
          <w:sz w:val="22"/>
          <w:szCs w:val="22"/>
        </w:rPr>
        <w:t>or residency</w:t>
      </w:r>
      <w:proofErr w:type="gramStart"/>
      <w:r w:rsidR="000B0353" w:rsidRPr="00C12D04">
        <w:rPr>
          <w:rFonts w:ascii="Arial" w:hAnsi="Arial" w:cs="Arial"/>
          <w:sz w:val="22"/>
          <w:szCs w:val="22"/>
        </w:rPr>
        <w:t>);</w:t>
      </w:r>
      <w:proofErr w:type="gramEnd"/>
    </w:p>
    <w:p w14:paraId="586A6049" w14:textId="6E203B85" w:rsidR="006354EC" w:rsidRPr="00C12D04" w:rsidRDefault="006354EC" w:rsidP="00EB304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12D04">
        <w:rPr>
          <w:rFonts w:ascii="Arial" w:hAnsi="Arial" w:cs="Arial"/>
          <w:sz w:val="22"/>
          <w:szCs w:val="22"/>
        </w:rPr>
        <w:t xml:space="preserve">have never been a PI on an NIH RO1 or R29 or subproject of a Program Project (PO1), Center (P50, P60, U54) grant, mentored career development (K-series) grant, or </w:t>
      </w:r>
      <w:proofErr w:type="gramStart"/>
      <w:r w:rsidRPr="00C12D04">
        <w:rPr>
          <w:rFonts w:ascii="Arial" w:hAnsi="Arial" w:cs="Arial"/>
          <w:sz w:val="22"/>
          <w:szCs w:val="22"/>
        </w:rPr>
        <w:t>other</w:t>
      </w:r>
      <w:proofErr w:type="gramEnd"/>
      <w:r w:rsidRPr="00C12D04">
        <w:rPr>
          <w:rFonts w:ascii="Arial" w:hAnsi="Arial" w:cs="Arial"/>
          <w:sz w:val="22"/>
          <w:szCs w:val="22"/>
        </w:rPr>
        <w:t xml:space="preserve"> </w:t>
      </w:r>
      <w:r w:rsidR="000B0353" w:rsidRPr="00C12D04">
        <w:rPr>
          <w:rFonts w:ascii="Arial" w:hAnsi="Arial" w:cs="Arial"/>
          <w:sz w:val="22"/>
          <w:szCs w:val="22"/>
        </w:rPr>
        <w:t xml:space="preserve">equivalent research </w:t>
      </w:r>
      <w:proofErr w:type="gramStart"/>
      <w:r w:rsidR="000B0353" w:rsidRPr="00C12D04">
        <w:rPr>
          <w:rFonts w:ascii="Arial" w:hAnsi="Arial" w:cs="Arial"/>
          <w:sz w:val="22"/>
          <w:szCs w:val="22"/>
        </w:rPr>
        <w:t>award;</w:t>
      </w:r>
      <w:proofErr w:type="gramEnd"/>
    </w:p>
    <w:p w14:paraId="03FCAF9C" w14:textId="702F69FB" w:rsidR="000B0353" w:rsidRPr="00C12D04" w:rsidRDefault="000B0353" w:rsidP="00EB304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12D04">
        <w:rPr>
          <w:rFonts w:ascii="Arial" w:hAnsi="Arial" w:cs="Arial"/>
          <w:sz w:val="22"/>
          <w:szCs w:val="22"/>
        </w:rPr>
        <w:t>be a U.S. citizen, non-citizen national, or possess an Alien Registration Receipt Card (1-151 or 1-155) or some other verification of legal ad</w:t>
      </w:r>
      <w:r w:rsidR="0075648C" w:rsidRPr="00C12D04">
        <w:rPr>
          <w:rFonts w:ascii="Arial" w:hAnsi="Arial" w:cs="Arial"/>
          <w:sz w:val="22"/>
          <w:szCs w:val="22"/>
        </w:rPr>
        <w:t>mission as a permanent citizen</w:t>
      </w:r>
    </w:p>
    <w:p w14:paraId="0FE9940B" w14:textId="3CEDBD2F" w:rsidR="006354EC" w:rsidRPr="00C12D04" w:rsidRDefault="000B0353" w:rsidP="00EB304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12D04">
        <w:rPr>
          <w:rFonts w:ascii="Arial" w:hAnsi="Arial" w:cs="Arial"/>
          <w:sz w:val="22"/>
          <w:szCs w:val="22"/>
        </w:rPr>
        <w:t>h</w:t>
      </w:r>
      <w:r w:rsidR="006354EC" w:rsidRPr="00C12D04">
        <w:rPr>
          <w:rFonts w:ascii="Arial" w:hAnsi="Arial" w:cs="Arial"/>
          <w:sz w:val="22"/>
          <w:szCs w:val="22"/>
        </w:rPr>
        <w:t>ave no more than six years of research training experience be</w:t>
      </w:r>
      <w:r w:rsidRPr="00C12D04">
        <w:rPr>
          <w:rFonts w:ascii="Arial" w:hAnsi="Arial" w:cs="Arial"/>
          <w:sz w:val="22"/>
          <w:szCs w:val="22"/>
        </w:rPr>
        <w:t>yond their last doctoral degree;</w:t>
      </w:r>
      <w:r w:rsidR="006C694B" w:rsidRPr="00C12D04">
        <w:rPr>
          <w:rFonts w:ascii="Arial" w:hAnsi="Arial" w:cs="Arial"/>
          <w:sz w:val="22"/>
          <w:szCs w:val="22"/>
        </w:rPr>
        <w:t xml:space="preserve"> and</w:t>
      </w:r>
    </w:p>
    <w:p w14:paraId="0EE12F75" w14:textId="6B7DCAFE" w:rsidR="000B0353" w:rsidRPr="00C12D04" w:rsidRDefault="000B0353" w:rsidP="00EB304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12D04">
        <w:rPr>
          <w:rFonts w:ascii="Arial" w:hAnsi="Arial" w:cs="Arial"/>
          <w:sz w:val="22"/>
          <w:szCs w:val="22"/>
        </w:rPr>
        <w:t xml:space="preserve">be able to spend at least </w:t>
      </w:r>
      <w:r w:rsidR="0041446F">
        <w:rPr>
          <w:rFonts w:ascii="Arial" w:hAnsi="Arial" w:cs="Arial"/>
          <w:sz w:val="22"/>
          <w:szCs w:val="22"/>
        </w:rPr>
        <w:t>9 person-</w:t>
      </w:r>
      <w:r w:rsidRPr="00C12D04">
        <w:rPr>
          <w:rFonts w:ascii="Arial" w:hAnsi="Arial" w:cs="Arial"/>
          <w:sz w:val="22"/>
          <w:szCs w:val="22"/>
        </w:rPr>
        <w:t>months (7</w:t>
      </w:r>
      <w:r w:rsidR="00F80035">
        <w:rPr>
          <w:rFonts w:ascii="Arial" w:hAnsi="Arial" w:cs="Arial"/>
          <w:sz w:val="22"/>
          <w:szCs w:val="22"/>
        </w:rPr>
        <w:t>5% effort)—or at least 6 person-</w:t>
      </w:r>
      <w:r w:rsidRPr="00C12D04">
        <w:rPr>
          <w:rFonts w:ascii="Arial" w:hAnsi="Arial" w:cs="Arial"/>
          <w:sz w:val="22"/>
          <w:szCs w:val="22"/>
        </w:rPr>
        <w:t>months (50% effort) for candidates in the surgical specialties during the period of BIRCWH funding.</w:t>
      </w:r>
    </w:p>
    <w:p w14:paraId="5CE06E0D" w14:textId="1A00DA6B" w:rsidR="00C73DC1" w:rsidRPr="00265663" w:rsidRDefault="00666222" w:rsidP="4940CF1C">
      <w:pPr>
        <w:spacing w:before="120" w:after="120"/>
        <w:rPr>
          <w:rFonts w:ascii="Arial" w:hAnsi="Arial" w:cs="Arial"/>
          <w:sz w:val="22"/>
          <w:szCs w:val="22"/>
        </w:rPr>
      </w:pPr>
      <w:r w:rsidRPr="4940CF1C">
        <w:rPr>
          <w:rFonts w:ascii="Arial" w:hAnsi="Arial" w:cs="Arial"/>
          <w:sz w:val="22"/>
          <w:szCs w:val="22"/>
        </w:rPr>
        <w:t xml:space="preserve">If you meet all eligibility requirements and are interested in applying, please </w:t>
      </w:r>
      <w:hyperlink r:id="rId10">
        <w:r w:rsidRPr="4940CF1C">
          <w:rPr>
            <w:rStyle w:val="Hyperlink"/>
            <w:rFonts w:ascii="Arial" w:hAnsi="Arial" w:cs="Arial"/>
            <w:sz w:val="22"/>
            <w:szCs w:val="22"/>
          </w:rPr>
          <w:t>click here for ap</w:t>
        </w:r>
        <w:r w:rsidRPr="4940CF1C">
          <w:rPr>
            <w:rStyle w:val="Hyperlink"/>
            <w:rFonts w:ascii="Arial" w:hAnsi="Arial" w:cs="Arial"/>
            <w:sz w:val="22"/>
            <w:szCs w:val="22"/>
          </w:rPr>
          <w:t>p</w:t>
        </w:r>
        <w:r w:rsidRPr="4940CF1C">
          <w:rPr>
            <w:rStyle w:val="Hyperlink"/>
            <w:rFonts w:ascii="Arial" w:hAnsi="Arial" w:cs="Arial"/>
            <w:sz w:val="22"/>
            <w:szCs w:val="22"/>
          </w:rPr>
          <w:t xml:space="preserve">lication instructions </w:t>
        </w:r>
      </w:hyperlink>
      <w:r w:rsidRPr="4940CF1C">
        <w:rPr>
          <w:rFonts w:ascii="Arial" w:hAnsi="Arial" w:cs="Arial"/>
          <w:sz w:val="22"/>
          <w:szCs w:val="22"/>
        </w:rPr>
        <w:t xml:space="preserve"> </w:t>
      </w:r>
    </w:p>
    <w:p w14:paraId="4F449802" w14:textId="73A882E5" w:rsidR="00C73DC1" w:rsidRPr="00265663" w:rsidRDefault="001960A8" w:rsidP="00666222">
      <w:pPr>
        <w:spacing w:before="120" w:after="120"/>
        <w:rPr>
          <w:rFonts w:ascii="Arial" w:hAnsi="Arial" w:cs="Arial"/>
          <w:sz w:val="22"/>
          <w:szCs w:val="22"/>
        </w:rPr>
      </w:pPr>
      <w:r w:rsidRPr="4940CF1C">
        <w:rPr>
          <w:rFonts w:ascii="Arial" w:hAnsi="Arial" w:cs="Arial"/>
          <w:sz w:val="22"/>
          <w:szCs w:val="22"/>
        </w:rPr>
        <w:t xml:space="preserve"> </w:t>
      </w:r>
      <w:r w:rsidR="0075648C" w:rsidRPr="4940CF1C">
        <w:rPr>
          <w:rFonts w:ascii="Arial" w:hAnsi="Arial" w:cs="Arial"/>
          <w:b/>
          <w:bCs/>
          <w:sz w:val="22"/>
          <w:szCs w:val="22"/>
        </w:rPr>
        <w:t>Questions</w:t>
      </w:r>
      <w:r w:rsidR="0075648C" w:rsidRPr="4940CF1C">
        <w:rPr>
          <w:rFonts w:ascii="Arial" w:hAnsi="Arial" w:cs="Arial"/>
          <w:sz w:val="22"/>
          <w:szCs w:val="22"/>
        </w:rPr>
        <w:t xml:space="preserve">: Contact </w:t>
      </w:r>
      <w:r w:rsidR="00E13A24" w:rsidRPr="4940CF1C">
        <w:rPr>
          <w:rFonts w:ascii="Arial" w:hAnsi="Arial" w:cs="Arial"/>
          <w:sz w:val="22"/>
          <w:szCs w:val="22"/>
        </w:rPr>
        <w:t>Shannon Walker</w:t>
      </w:r>
      <w:r w:rsidR="00E72B70" w:rsidRPr="4940CF1C">
        <w:rPr>
          <w:rFonts w:ascii="Arial" w:hAnsi="Arial" w:cs="Arial"/>
          <w:sz w:val="22"/>
          <w:szCs w:val="22"/>
        </w:rPr>
        <w:t xml:space="preserve"> at </w:t>
      </w:r>
      <w:hyperlink r:id="rId11">
        <w:r w:rsidR="00E13A24" w:rsidRPr="4940CF1C">
          <w:rPr>
            <w:rStyle w:val="Hyperlink"/>
            <w:rFonts w:ascii="Arial" w:hAnsi="Arial" w:cs="Arial"/>
            <w:sz w:val="22"/>
            <w:szCs w:val="22"/>
          </w:rPr>
          <w:t>shannon.walker@emory.edu</w:t>
        </w:r>
      </w:hyperlink>
      <w:r w:rsidR="00E13A24" w:rsidRPr="4940CF1C">
        <w:rPr>
          <w:rFonts w:ascii="Arial" w:hAnsi="Arial" w:cs="Arial"/>
          <w:sz w:val="22"/>
          <w:szCs w:val="22"/>
        </w:rPr>
        <w:t>.</w:t>
      </w:r>
    </w:p>
    <w:sectPr w:rsidR="00C73DC1" w:rsidRPr="00265663" w:rsidSect="00C83533"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4E5C2" w14:textId="77777777" w:rsidR="00F7549F" w:rsidRDefault="00F7549F" w:rsidP="008B6644">
      <w:r>
        <w:separator/>
      </w:r>
    </w:p>
  </w:endnote>
  <w:endnote w:type="continuationSeparator" w:id="0">
    <w:p w14:paraId="2D05C1A6" w14:textId="77777777" w:rsidR="00F7549F" w:rsidRDefault="00F7549F" w:rsidP="008B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D676" w14:textId="77777777" w:rsidR="00F7549F" w:rsidRDefault="00F7549F" w:rsidP="008B6644">
      <w:r>
        <w:separator/>
      </w:r>
    </w:p>
  </w:footnote>
  <w:footnote w:type="continuationSeparator" w:id="0">
    <w:p w14:paraId="53839D8F" w14:textId="77777777" w:rsidR="00F7549F" w:rsidRDefault="00F7549F" w:rsidP="008B6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51D"/>
    <w:multiLevelType w:val="multilevel"/>
    <w:tmpl w:val="A710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006D8"/>
    <w:multiLevelType w:val="multilevel"/>
    <w:tmpl w:val="95AA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F7246"/>
    <w:multiLevelType w:val="hybridMultilevel"/>
    <w:tmpl w:val="835E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FA88C"/>
    <w:multiLevelType w:val="hybridMultilevel"/>
    <w:tmpl w:val="D2800E0A"/>
    <w:lvl w:ilvl="0" w:tplc="E5F23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A4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84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49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A6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61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8F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88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A8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44351">
    <w:abstractNumId w:val="3"/>
  </w:num>
  <w:num w:numId="2" w16cid:durableId="1777946049">
    <w:abstractNumId w:val="1"/>
  </w:num>
  <w:num w:numId="3" w16cid:durableId="1488522003">
    <w:abstractNumId w:val="0"/>
  </w:num>
  <w:num w:numId="4" w16cid:durableId="104163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A3"/>
    <w:rsid w:val="00004DD0"/>
    <w:rsid w:val="00014983"/>
    <w:rsid w:val="0002179A"/>
    <w:rsid w:val="00040267"/>
    <w:rsid w:val="00070EEF"/>
    <w:rsid w:val="0007651B"/>
    <w:rsid w:val="000B0353"/>
    <w:rsid w:val="00113466"/>
    <w:rsid w:val="0013056C"/>
    <w:rsid w:val="00151671"/>
    <w:rsid w:val="0015198F"/>
    <w:rsid w:val="00153C19"/>
    <w:rsid w:val="001774E6"/>
    <w:rsid w:val="001960A8"/>
    <w:rsid w:val="001E6149"/>
    <w:rsid w:val="00223A03"/>
    <w:rsid w:val="002437E6"/>
    <w:rsid w:val="00245629"/>
    <w:rsid w:val="00265663"/>
    <w:rsid w:val="00270524"/>
    <w:rsid w:val="002B471B"/>
    <w:rsid w:val="002D7064"/>
    <w:rsid w:val="00304BAB"/>
    <w:rsid w:val="00350E53"/>
    <w:rsid w:val="00387107"/>
    <w:rsid w:val="0039644C"/>
    <w:rsid w:val="003A69BA"/>
    <w:rsid w:val="003B1B1D"/>
    <w:rsid w:val="003D5EA5"/>
    <w:rsid w:val="004065A9"/>
    <w:rsid w:val="0041446F"/>
    <w:rsid w:val="00431487"/>
    <w:rsid w:val="0044665A"/>
    <w:rsid w:val="004B0749"/>
    <w:rsid w:val="004D3182"/>
    <w:rsid w:val="00504251"/>
    <w:rsid w:val="005105D4"/>
    <w:rsid w:val="00514F71"/>
    <w:rsid w:val="00535A7D"/>
    <w:rsid w:val="00574229"/>
    <w:rsid w:val="005A3B18"/>
    <w:rsid w:val="005E1638"/>
    <w:rsid w:val="005E2838"/>
    <w:rsid w:val="0062244C"/>
    <w:rsid w:val="006354EC"/>
    <w:rsid w:val="00654F5C"/>
    <w:rsid w:val="00666222"/>
    <w:rsid w:val="00686984"/>
    <w:rsid w:val="006B69D9"/>
    <w:rsid w:val="006B7671"/>
    <w:rsid w:val="006C694B"/>
    <w:rsid w:val="006E070D"/>
    <w:rsid w:val="006F2545"/>
    <w:rsid w:val="00713256"/>
    <w:rsid w:val="007229E5"/>
    <w:rsid w:val="0073695E"/>
    <w:rsid w:val="00743BF4"/>
    <w:rsid w:val="00745B6F"/>
    <w:rsid w:val="0075648C"/>
    <w:rsid w:val="00766B0A"/>
    <w:rsid w:val="007B57B3"/>
    <w:rsid w:val="007B58D0"/>
    <w:rsid w:val="007C60D0"/>
    <w:rsid w:val="007D07C9"/>
    <w:rsid w:val="008009A9"/>
    <w:rsid w:val="008251CD"/>
    <w:rsid w:val="00830229"/>
    <w:rsid w:val="00842098"/>
    <w:rsid w:val="008B594B"/>
    <w:rsid w:val="008B6644"/>
    <w:rsid w:val="008C6F37"/>
    <w:rsid w:val="008D592B"/>
    <w:rsid w:val="008D6009"/>
    <w:rsid w:val="008F22C9"/>
    <w:rsid w:val="009375D3"/>
    <w:rsid w:val="00960D3E"/>
    <w:rsid w:val="009636E2"/>
    <w:rsid w:val="009E3062"/>
    <w:rsid w:val="009F2A04"/>
    <w:rsid w:val="00A630DB"/>
    <w:rsid w:val="00AD71D8"/>
    <w:rsid w:val="00B37E9D"/>
    <w:rsid w:val="00B64A57"/>
    <w:rsid w:val="00B757A0"/>
    <w:rsid w:val="00B77586"/>
    <w:rsid w:val="00B92BD0"/>
    <w:rsid w:val="00BA1DEF"/>
    <w:rsid w:val="00BD1D2E"/>
    <w:rsid w:val="00C12D04"/>
    <w:rsid w:val="00C66BEF"/>
    <w:rsid w:val="00C73DC1"/>
    <w:rsid w:val="00C83533"/>
    <w:rsid w:val="00C90B7F"/>
    <w:rsid w:val="00CB3591"/>
    <w:rsid w:val="00D039F4"/>
    <w:rsid w:val="00D6471A"/>
    <w:rsid w:val="00D70DA9"/>
    <w:rsid w:val="00D7588C"/>
    <w:rsid w:val="00E068B4"/>
    <w:rsid w:val="00E13A24"/>
    <w:rsid w:val="00E15D98"/>
    <w:rsid w:val="00E322EA"/>
    <w:rsid w:val="00E332CB"/>
    <w:rsid w:val="00E42C96"/>
    <w:rsid w:val="00E4790D"/>
    <w:rsid w:val="00E61EC1"/>
    <w:rsid w:val="00E72B70"/>
    <w:rsid w:val="00E77C13"/>
    <w:rsid w:val="00E8722B"/>
    <w:rsid w:val="00EB3046"/>
    <w:rsid w:val="00EF4798"/>
    <w:rsid w:val="00F030A3"/>
    <w:rsid w:val="00F7549F"/>
    <w:rsid w:val="00F80035"/>
    <w:rsid w:val="00FA51E0"/>
    <w:rsid w:val="00FA5206"/>
    <w:rsid w:val="00FD37E2"/>
    <w:rsid w:val="00FD41ED"/>
    <w:rsid w:val="00FE2F91"/>
    <w:rsid w:val="00FF4208"/>
    <w:rsid w:val="09D6EFAC"/>
    <w:rsid w:val="137B9740"/>
    <w:rsid w:val="25C5F2EE"/>
    <w:rsid w:val="3D2E7425"/>
    <w:rsid w:val="4940CF1C"/>
    <w:rsid w:val="5741D5DA"/>
    <w:rsid w:val="5EE653DD"/>
    <w:rsid w:val="60C8E1C6"/>
    <w:rsid w:val="6E66B8B9"/>
    <w:rsid w:val="70355CC7"/>
    <w:rsid w:val="70570F75"/>
    <w:rsid w:val="736A7779"/>
    <w:rsid w:val="7DEC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3142"/>
  <w14:defaultImageDpi w14:val="32767"/>
  <w15:docId w15:val="{53F9EBDA-1873-4160-8976-9CEC66EB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1B1D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3B1B1D"/>
    <w:rPr>
      <w:b/>
      <w:bCs/>
    </w:rPr>
  </w:style>
  <w:style w:type="character" w:customStyle="1" w:styleId="apple-converted-space">
    <w:name w:val="apple-converted-space"/>
    <w:basedOn w:val="DefaultParagraphFont"/>
    <w:rsid w:val="003B1B1D"/>
  </w:style>
  <w:style w:type="character" w:styleId="Hyperlink">
    <w:name w:val="Hyperlink"/>
    <w:uiPriority w:val="99"/>
    <w:unhideWhenUsed/>
    <w:rsid w:val="006354E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354E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0B0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644"/>
  </w:style>
  <w:style w:type="paragraph" w:styleId="Footer">
    <w:name w:val="footer"/>
    <w:basedOn w:val="Normal"/>
    <w:link w:val="FooterChar"/>
    <w:uiPriority w:val="99"/>
    <w:unhideWhenUsed/>
    <w:rsid w:val="008B6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644"/>
  </w:style>
  <w:style w:type="paragraph" w:styleId="BalloonText">
    <w:name w:val="Balloon Text"/>
    <w:basedOn w:val="Normal"/>
    <w:link w:val="BalloonTextChar"/>
    <w:uiPriority w:val="99"/>
    <w:semiHidden/>
    <w:unhideWhenUsed/>
    <w:rsid w:val="0024562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29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79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9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90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9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90D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6B767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13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nnon.walker@emory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d.emory.edu/departments/medicine/divisions/infectious-diseases/studies-programs/bircwh/applicants/application-instructio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rcwh.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2CEA71-9923-B749-89FB-8E3975D3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2814</Characters>
  <Application>Microsoft Office Word</Application>
  <DocSecurity>0</DocSecurity>
  <Lines>23</Lines>
  <Paragraphs>6</Paragraphs>
  <ScaleCrop>false</ScaleCrop>
  <Company>Emory University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Walker, Shannon</cp:lastModifiedBy>
  <cp:revision>2</cp:revision>
  <cp:lastPrinted>2025-09-26T15:39:00Z</cp:lastPrinted>
  <dcterms:created xsi:type="dcterms:W3CDTF">2025-09-26T15:39:00Z</dcterms:created>
  <dcterms:modified xsi:type="dcterms:W3CDTF">2025-09-26T15:39:00Z</dcterms:modified>
</cp:coreProperties>
</file>