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A4" w:rsidRPr="00F27F29" w:rsidRDefault="00AD4B22" w:rsidP="007347F3">
      <w:pPr>
        <w:pStyle w:val="Heading1"/>
        <w:spacing w:before="200"/>
      </w:pPr>
      <w:bookmarkStart w:id="0" w:name="_GoBack"/>
      <w:bookmarkEnd w:id="0"/>
      <w:r>
        <w:t xml:space="preserve">PCC Quarterly </w:t>
      </w:r>
      <w:r w:rsidR="00853804" w:rsidRPr="00F27F29">
        <w:t>Meeting Agenda</w:t>
      </w:r>
    </w:p>
    <w:p w:rsidR="00B344AD" w:rsidRPr="00B344AD" w:rsidRDefault="00B344AD" w:rsidP="00853804">
      <w:pPr>
        <w:pStyle w:val="NoSpacing"/>
        <w:rPr>
          <w:sz w:val="24"/>
        </w:rPr>
      </w:pPr>
      <w:r w:rsidRPr="00B344AD">
        <w:rPr>
          <w:sz w:val="24"/>
        </w:rPr>
        <w:t xml:space="preserve">Wesley Woods Health Center </w:t>
      </w:r>
      <w:r w:rsidR="00E42CD0">
        <w:rPr>
          <w:sz w:val="24"/>
        </w:rPr>
        <w:t>–</w:t>
      </w:r>
      <w:r w:rsidRPr="00B344AD">
        <w:rPr>
          <w:sz w:val="24"/>
        </w:rPr>
        <w:t xml:space="preserve"> </w:t>
      </w:r>
      <w:r w:rsidR="00E42CD0">
        <w:rPr>
          <w:sz w:val="24"/>
        </w:rPr>
        <w:t>Conference Room</w:t>
      </w:r>
    </w:p>
    <w:p w:rsidR="00853804" w:rsidRPr="005B4923" w:rsidRDefault="00000AE5" w:rsidP="00853804">
      <w:pPr>
        <w:pStyle w:val="NoSpacing"/>
        <w:rPr>
          <w:b/>
          <w:sz w:val="24"/>
        </w:rPr>
      </w:pPr>
      <w:r>
        <w:rPr>
          <w:b/>
          <w:sz w:val="24"/>
        </w:rPr>
        <w:t>Tuesday</w:t>
      </w:r>
      <w:r w:rsidR="00813FAC">
        <w:rPr>
          <w:b/>
          <w:sz w:val="24"/>
        </w:rPr>
        <w:t xml:space="preserve">, </w:t>
      </w:r>
      <w:r>
        <w:rPr>
          <w:b/>
          <w:sz w:val="24"/>
        </w:rPr>
        <w:t xml:space="preserve">January </w:t>
      </w:r>
      <w:r w:rsidR="00197370">
        <w:rPr>
          <w:b/>
          <w:sz w:val="24"/>
        </w:rPr>
        <w:t>30</w:t>
      </w:r>
      <w:r w:rsidR="0043750F">
        <w:rPr>
          <w:b/>
          <w:sz w:val="24"/>
        </w:rPr>
        <w:t>, 201</w:t>
      </w:r>
      <w:r>
        <w:rPr>
          <w:b/>
          <w:sz w:val="24"/>
        </w:rPr>
        <w:t>8</w:t>
      </w:r>
      <w:r w:rsidR="00286088">
        <w:rPr>
          <w:b/>
          <w:sz w:val="24"/>
        </w:rPr>
        <w:t xml:space="preserve">, </w:t>
      </w:r>
      <w:r w:rsidR="00730D1A">
        <w:rPr>
          <w:b/>
          <w:sz w:val="24"/>
        </w:rPr>
        <w:t>1</w:t>
      </w:r>
      <w:r w:rsidR="00853804" w:rsidRPr="005B4923">
        <w:rPr>
          <w:b/>
          <w:sz w:val="24"/>
        </w:rPr>
        <w:t>:</w:t>
      </w:r>
      <w:r>
        <w:rPr>
          <w:b/>
          <w:sz w:val="24"/>
        </w:rPr>
        <w:t>3</w:t>
      </w:r>
      <w:r w:rsidR="00853804" w:rsidRPr="005B4923">
        <w:rPr>
          <w:b/>
          <w:sz w:val="24"/>
        </w:rPr>
        <w:t>0-</w:t>
      </w:r>
      <w:r w:rsidR="00730D1A">
        <w:rPr>
          <w:b/>
          <w:sz w:val="24"/>
        </w:rPr>
        <w:t>3</w:t>
      </w:r>
      <w:r w:rsidR="00853804" w:rsidRPr="005B4923">
        <w:rPr>
          <w:b/>
          <w:sz w:val="24"/>
        </w:rPr>
        <w:t>:</w:t>
      </w:r>
      <w:r>
        <w:rPr>
          <w:b/>
          <w:sz w:val="24"/>
        </w:rPr>
        <w:t>30</w:t>
      </w:r>
      <w:r w:rsidR="00853804" w:rsidRPr="005B4923">
        <w:rPr>
          <w:b/>
          <w:sz w:val="24"/>
        </w:rPr>
        <w:t xml:space="preserve"> P.M.</w:t>
      </w:r>
      <w:r w:rsidR="00730D1A">
        <w:rPr>
          <w:b/>
          <w:sz w:val="24"/>
        </w:rPr>
        <w:t xml:space="preserve"> (lunch provided)</w:t>
      </w:r>
    </w:p>
    <w:p w:rsidR="00853804" w:rsidRDefault="00853804" w:rsidP="00853804">
      <w:pPr>
        <w:pStyle w:val="NoSpacing"/>
      </w:pPr>
    </w:p>
    <w:p w:rsidR="00A55D65" w:rsidRPr="00C26A06" w:rsidRDefault="00A55D65" w:rsidP="00A55D65">
      <w:pPr>
        <w:pStyle w:val="NoSpacing"/>
        <w:rPr>
          <w:sz w:val="24"/>
        </w:rPr>
      </w:pPr>
      <w:r>
        <w:rPr>
          <w:b/>
          <w:sz w:val="24"/>
        </w:rPr>
        <w:t xml:space="preserve">Participants: </w:t>
      </w:r>
      <w:r>
        <w:rPr>
          <w:sz w:val="24"/>
        </w:rPr>
        <w:t xml:space="preserve">Ted Johnson, Miranda Moore, </w:t>
      </w:r>
      <w:r w:rsidR="00EA2886">
        <w:rPr>
          <w:sz w:val="24"/>
        </w:rPr>
        <w:t>Jason Freiji</w:t>
      </w:r>
      <w:r>
        <w:rPr>
          <w:sz w:val="24"/>
        </w:rPr>
        <w:t xml:space="preserve">, Leigh Partington, Maha Lund, </w:t>
      </w:r>
      <w:r w:rsidR="00EA2886">
        <w:rPr>
          <w:sz w:val="24"/>
        </w:rPr>
        <w:t>Loni Davidson</w:t>
      </w:r>
      <w:r>
        <w:rPr>
          <w:sz w:val="24"/>
        </w:rPr>
        <w:t xml:space="preserve">, </w:t>
      </w:r>
      <w:r w:rsidR="00EA2886">
        <w:rPr>
          <w:sz w:val="24"/>
        </w:rPr>
        <w:t>Jose Villalon-Gomez</w:t>
      </w:r>
      <w:r>
        <w:rPr>
          <w:sz w:val="24"/>
        </w:rPr>
        <w:t>, Allison Leppke, Erica Webb, Kimberly Rask, Tiffany Wang</w:t>
      </w:r>
      <w:r w:rsidR="00EA2886">
        <w:rPr>
          <w:sz w:val="24"/>
        </w:rPr>
        <w:t>, Cathi Durham, Frederick Turton, Christopher Masi, Eva Rimler, Hasan Shabbir</w:t>
      </w:r>
    </w:p>
    <w:p w:rsidR="00A55D65" w:rsidRDefault="00A55D65" w:rsidP="00853804">
      <w:pPr>
        <w:pStyle w:val="NoSpacing"/>
      </w:pPr>
    </w:p>
    <w:p w:rsidR="00FC0863" w:rsidRPr="00A55D65" w:rsidRDefault="00730D1A" w:rsidP="00F9538F">
      <w:pPr>
        <w:pStyle w:val="ListParagraph"/>
        <w:numPr>
          <w:ilvl w:val="0"/>
          <w:numId w:val="5"/>
        </w:numPr>
        <w:ind w:left="360"/>
      </w:pPr>
      <w:r w:rsidRPr="00F27F29">
        <w:t xml:space="preserve">Welcome and </w:t>
      </w:r>
      <w:r w:rsidR="00853804" w:rsidRPr="00F27F29">
        <w:t>Introductions</w:t>
      </w:r>
      <w:r w:rsidRPr="00F27F29">
        <w:t xml:space="preserve"> </w:t>
      </w:r>
      <w:r w:rsidR="009775DC" w:rsidRPr="00F27F29">
        <w:t>(</w:t>
      </w:r>
      <w:r w:rsidR="00D80ACE">
        <w:t>1</w:t>
      </w:r>
      <w:r w:rsidR="00000AE5">
        <w:t>0</w:t>
      </w:r>
      <w:r w:rsidR="005B4923" w:rsidRPr="00F27F29">
        <w:t xml:space="preserve"> min</w:t>
      </w:r>
      <w:r w:rsidR="00813FAC" w:rsidRPr="00F27F29">
        <w:t>ute</w:t>
      </w:r>
      <w:r w:rsidRPr="00F27F29">
        <w:t>s</w:t>
      </w:r>
      <w:r w:rsidR="005B4923" w:rsidRPr="00F27F29">
        <w:t>)</w:t>
      </w:r>
      <w:r w:rsidR="00813FAC" w:rsidRPr="00F27F29">
        <w:t xml:space="preserve"> </w:t>
      </w:r>
      <w:r w:rsidR="00813FAC" w:rsidRPr="00F27F29">
        <w:rPr>
          <w:b/>
        </w:rPr>
        <w:t>(Ted Johnson, MD, MPH)</w:t>
      </w:r>
    </w:p>
    <w:p w:rsidR="00A55D65" w:rsidRDefault="00A55D65" w:rsidP="00A55D65">
      <w:pPr>
        <w:spacing w:after="0" w:line="240" w:lineRule="auto"/>
      </w:pPr>
      <w:r w:rsidRPr="00A55D65">
        <w:rPr>
          <w:rStyle w:val="tx"/>
          <w:i/>
          <w:color w:val="548DD4" w:themeColor="text2" w:themeTint="99"/>
          <w:bdr w:val="none" w:sz="0" w:space="0" w:color="auto" w:frame="1"/>
        </w:rPr>
        <w:t>Everyone introduced themselves with their name, Emory affiliation, and primary care role at Emory. We had new members</w:t>
      </w:r>
      <w:r w:rsidR="00EA2886">
        <w:rPr>
          <w:rStyle w:val="tx"/>
          <w:i/>
          <w:color w:val="548DD4" w:themeColor="text2" w:themeTint="99"/>
          <w:bdr w:val="none" w:sz="0" w:space="0" w:color="auto" w:frame="1"/>
        </w:rPr>
        <w:t xml:space="preserve"> Jason Freiji (PCC finance officer), Jose Villalon-Gomez (FM Residency Program Director), Frederick Turton (Medical Director for Emory Primary Care), Christopher Masi (Medical Director for Emory Primary Care), and Hasan Shabbir (Chief Quality Officer)</w:t>
      </w:r>
      <w:r w:rsidRPr="00A55D65">
        <w:rPr>
          <w:rStyle w:val="tx"/>
          <w:i/>
          <w:color w:val="548DD4" w:themeColor="text2" w:themeTint="99"/>
          <w:bdr w:val="none" w:sz="0" w:space="0" w:color="auto" w:frame="1"/>
        </w:rPr>
        <w:t xml:space="preserve">. </w:t>
      </w:r>
    </w:p>
    <w:p w:rsidR="00A55D65" w:rsidRPr="00F27F29" w:rsidRDefault="00A55D65" w:rsidP="00A55D65">
      <w:pPr>
        <w:pStyle w:val="ListParagraph"/>
      </w:pPr>
    </w:p>
    <w:p w:rsidR="00D80ACE" w:rsidRDefault="00432176" w:rsidP="00D80ACE">
      <w:pPr>
        <w:pStyle w:val="ListParagraph"/>
        <w:numPr>
          <w:ilvl w:val="0"/>
          <w:numId w:val="5"/>
        </w:numPr>
        <w:ind w:left="360"/>
      </w:pPr>
      <w:r>
        <w:t>Financial</w:t>
      </w:r>
      <w:r w:rsidR="00977165">
        <w:t xml:space="preserve"> Reports (</w:t>
      </w:r>
      <w:r w:rsidR="00000AE5">
        <w:t>5</w:t>
      </w:r>
      <w:r w:rsidR="00452061">
        <w:t xml:space="preserve"> minutes</w:t>
      </w:r>
      <w:r w:rsidR="00813FAC" w:rsidRPr="00F27F29">
        <w:t xml:space="preserve">) </w:t>
      </w:r>
    </w:p>
    <w:p w:rsidR="003B32F2" w:rsidRDefault="003B32F2" w:rsidP="00D80ACE">
      <w:pPr>
        <w:pStyle w:val="ListParagraph"/>
        <w:numPr>
          <w:ilvl w:val="1"/>
          <w:numId w:val="5"/>
        </w:numPr>
      </w:pPr>
      <w:r>
        <w:t xml:space="preserve">Budget Update </w:t>
      </w:r>
      <w:r w:rsidR="00432176" w:rsidRPr="00F27F29">
        <w:rPr>
          <w:b/>
        </w:rPr>
        <w:t>(Luke Anderson)</w:t>
      </w:r>
    </w:p>
    <w:p w:rsidR="00D80ACE" w:rsidRPr="00EA2886" w:rsidRDefault="00432176" w:rsidP="00D80ACE">
      <w:pPr>
        <w:pStyle w:val="ListParagraph"/>
        <w:numPr>
          <w:ilvl w:val="1"/>
          <w:numId w:val="5"/>
        </w:numPr>
      </w:pPr>
      <w:r>
        <w:t xml:space="preserve">Sponsorship Committee Report </w:t>
      </w:r>
      <w:r w:rsidRPr="00F27F29">
        <w:rPr>
          <w:b/>
        </w:rPr>
        <w:t>(Miranda Moore, PhD</w:t>
      </w:r>
      <w:r>
        <w:rPr>
          <w:b/>
        </w:rPr>
        <w:t>)</w:t>
      </w:r>
    </w:p>
    <w:p w:rsidR="00EA2886" w:rsidRDefault="00EA2886" w:rsidP="00EA2886">
      <w:pPr>
        <w:pStyle w:val="ListParagraph"/>
        <w:ind w:left="1440"/>
        <w:rPr>
          <w:rStyle w:val="tx"/>
          <w:i/>
          <w:color w:val="548DD4" w:themeColor="text2" w:themeTint="99"/>
          <w:bdr w:val="none" w:sz="0" w:space="0" w:color="auto" w:frame="1"/>
        </w:rPr>
      </w:pPr>
      <w:r>
        <w:rPr>
          <w:rStyle w:val="tx"/>
          <w:i/>
          <w:color w:val="548DD4" w:themeColor="text2" w:themeTint="99"/>
          <w:bdr w:val="none" w:sz="0" w:space="0" w:color="auto" w:frame="1"/>
        </w:rPr>
        <w:t>Sponsorship applications will go through the Sponsorship Committee from now on. The committee consists of 5 voting members and the PCC Assistant Program Director (non-voting).</w:t>
      </w:r>
    </w:p>
    <w:p w:rsidR="00EA2886" w:rsidRDefault="00EA2886" w:rsidP="00EA2886">
      <w:pPr>
        <w:pStyle w:val="ListParagraph"/>
        <w:ind w:left="1440"/>
      </w:pPr>
    </w:p>
    <w:p w:rsidR="003B32F2" w:rsidRPr="00EA2886" w:rsidRDefault="003B32F2" w:rsidP="003B32F2">
      <w:pPr>
        <w:pStyle w:val="ListParagraph"/>
        <w:numPr>
          <w:ilvl w:val="1"/>
          <w:numId w:val="5"/>
        </w:numPr>
      </w:pPr>
      <w:r>
        <w:t>Grant</w:t>
      </w:r>
      <w:r w:rsidR="00432176">
        <w:t>s</w:t>
      </w:r>
      <w:r>
        <w:t xml:space="preserve"> </w:t>
      </w:r>
      <w:r w:rsidR="00432176">
        <w:t xml:space="preserve">Committee Report </w:t>
      </w:r>
      <w:r w:rsidR="00432176" w:rsidRPr="00F27F29">
        <w:rPr>
          <w:b/>
        </w:rPr>
        <w:t>(Miranda Moore, PhD</w:t>
      </w:r>
      <w:r w:rsidR="00432176">
        <w:rPr>
          <w:b/>
        </w:rPr>
        <w:t>)</w:t>
      </w:r>
    </w:p>
    <w:p w:rsidR="00EA2886" w:rsidRDefault="00EA2886" w:rsidP="00EA2886">
      <w:pPr>
        <w:pStyle w:val="ListParagraph"/>
        <w:ind w:left="1440"/>
        <w:rPr>
          <w:b/>
        </w:rPr>
      </w:pPr>
      <w:r>
        <w:rPr>
          <w:rStyle w:val="tx"/>
          <w:i/>
          <w:color w:val="548DD4" w:themeColor="text2" w:themeTint="99"/>
          <w:bdr w:val="none" w:sz="0" w:space="0" w:color="auto" w:frame="1"/>
        </w:rPr>
        <w:t xml:space="preserve">New grant call for applications can be found: </w:t>
      </w:r>
      <w:r w:rsidRPr="00EA2886">
        <w:rPr>
          <w:rStyle w:val="tx"/>
          <w:i/>
          <w:color w:val="548DD4" w:themeColor="text2" w:themeTint="99"/>
          <w:bdr w:val="none" w:sz="0" w:space="0" w:color="auto" w:frame="1"/>
        </w:rPr>
        <w:t>http://www.fpm.emory.edu/research/research_resources/index.html</w:t>
      </w:r>
      <w:r>
        <w:rPr>
          <w:rStyle w:val="tx"/>
          <w:i/>
          <w:color w:val="548DD4" w:themeColor="text2" w:themeTint="99"/>
          <w:bdr w:val="none" w:sz="0" w:space="0" w:color="auto" w:frame="1"/>
        </w:rPr>
        <w:t>. The Grants Committee consists of 3 voting members and 2 alternates.</w:t>
      </w:r>
    </w:p>
    <w:p w:rsidR="00EA2886" w:rsidRPr="00F27F29" w:rsidRDefault="00EA2886" w:rsidP="00EA2886">
      <w:pPr>
        <w:pStyle w:val="ListParagraph"/>
        <w:ind w:left="1440"/>
      </w:pPr>
    </w:p>
    <w:p w:rsidR="00813FAC" w:rsidRPr="00F27F29" w:rsidRDefault="00466D60" w:rsidP="00FC0863">
      <w:pPr>
        <w:pStyle w:val="ListParagraph"/>
        <w:numPr>
          <w:ilvl w:val="0"/>
          <w:numId w:val="5"/>
        </w:numPr>
        <w:ind w:left="360"/>
      </w:pPr>
      <w:r>
        <w:t>Update on Activities (</w:t>
      </w:r>
      <w:r w:rsidR="007F2F1D">
        <w:t>10</w:t>
      </w:r>
      <w:r w:rsidR="00813FAC" w:rsidRPr="00F27F29">
        <w:t xml:space="preserve"> minutes)</w:t>
      </w:r>
    </w:p>
    <w:p w:rsidR="007F2F1D" w:rsidRPr="00EA2886" w:rsidRDefault="007F2F1D" w:rsidP="00F9538F">
      <w:pPr>
        <w:pStyle w:val="ListParagraph"/>
        <w:numPr>
          <w:ilvl w:val="1"/>
          <w:numId w:val="5"/>
        </w:numPr>
      </w:pPr>
      <w:r>
        <w:t xml:space="preserve">Pipeline Committee Report </w:t>
      </w:r>
      <w:r w:rsidRPr="007F2F1D">
        <w:rPr>
          <w:b/>
        </w:rPr>
        <w:t>(Erica Webb, FNP)</w:t>
      </w:r>
    </w:p>
    <w:p w:rsidR="00EA2886" w:rsidRDefault="00EA2886" w:rsidP="00EA2886">
      <w:pPr>
        <w:pStyle w:val="ListParagraph"/>
        <w:ind w:left="1440"/>
      </w:pPr>
      <w:r>
        <w:rPr>
          <w:rStyle w:val="tx"/>
          <w:i/>
          <w:color w:val="548DD4" w:themeColor="text2" w:themeTint="99"/>
          <w:bdr w:val="none" w:sz="0" w:space="0" w:color="auto" w:frame="1"/>
        </w:rPr>
        <w:t>Erica will be convening this committee in the near future.</w:t>
      </w:r>
    </w:p>
    <w:p w:rsidR="00F9538F" w:rsidRPr="00F27F29" w:rsidRDefault="00F9538F" w:rsidP="00F9538F">
      <w:pPr>
        <w:pStyle w:val="ListParagraph"/>
        <w:numPr>
          <w:ilvl w:val="1"/>
          <w:numId w:val="5"/>
        </w:numPr>
      </w:pPr>
      <w:r>
        <w:t>Communications</w:t>
      </w:r>
      <w:r w:rsidRPr="00F27F29">
        <w:t xml:space="preserve"> </w:t>
      </w:r>
      <w:r w:rsidR="004325AA" w:rsidRPr="00F27F29">
        <w:rPr>
          <w:b/>
        </w:rPr>
        <w:t>(</w:t>
      </w:r>
      <w:r w:rsidRPr="00F27F29">
        <w:rPr>
          <w:b/>
        </w:rPr>
        <w:t>Miranda Moore, PhD; Leigh Partington, PhD</w:t>
      </w:r>
      <w:r w:rsidR="004325AA" w:rsidRPr="00F27F29">
        <w:rPr>
          <w:b/>
        </w:rPr>
        <w:t>)</w:t>
      </w:r>
    </w:p>
    <w:p w:rsidR="00F9538F" w:rsidRDefault="00F9538F" w:rsidP="00F9538F">
      <w:pPr>
        <w:pStyle w:val="ListParagraph"/>
        <w:numPr>
          <w:ilvl w:val="2"/>
          <w:numId w:val="5"/>
        </w:numPr>
      </w:pPr>
      <w:r>
        <w:t>Newsletter/</w:t>
      </w:r>
      <w:r w:rsidRPr="00F27F29">
        <w:t xml:space="preserve">Website </w:t>
      </w:r>
      <w:r>
        <w:t xml:space="preserve">– coming </w:t>
      </w:r>
      <w:r w:rsidR="00000AE5">
        <w:t>soon</w:t>
      </w:r>
    </w:p>
    <w:p w:rsidR="00EA2886" w:rsidRDefault="00EA2886" w:rsidP="00EA2886">
      <w:pPr>
        <w:pStyle w:val="ListParagraph"/>
        <w:ind w:left="2160"/>
      </w:pPr>
      <w:r>
        <w:rPr>
          <w:rStyle w:val="tx"/>
          <w:i/>
          <w:color w:val="548DD4" w:themeColor="text2" w:themeTint="99"/>
          <w:bdr w:val="none" w:sz="0" w:space="0" w:color="auto" w:frame="1"/>
        </w:rPr>
        <w:t>The website is in the process of being built.</w:t>
      </w:r>
    </w:p>
    <w:p w:rsidR="00900459" w:rsidRDefault="00900459" w:rsidP="00F9538F">
      <w:pPr>
        <w:pStyle w:val="ListParagraph"/>
        <w:numPr>
          <w:ilvl w:val="1"/>
          <w:numId w:val="5"/>
        </w:numPr>
      </w:pPr>
      <w:r>
        <w:t>Reports from Funded Groups</w:t>
      </w:r>
    </w:p>
    <w:p w:rsidR="004325AA" w:rsidRPr="00EA2886" w:rsidRDefault="004325AA" w:rsidP="00900459">
      <w:pPr>
        <w:pStyle w:val="ListParagraph"/>
        <w:numPr>
          <w:ilvl w:val="2"/>
          <w:numId w:val="5"/>
        </w:numPr>
      </w:pPr>
      <w:r w:rsidRPr="00F27F29">
        <w:t xml:space="preserve">Primary Care Progress </w:t>
      </w:r>
      <w:r w:rsidR="00F27F29" w:rsidRPr="00F27F29">
        <w:rPr>
          <w:b/>
        </w:rPr>
        <w:t>(</w:t>
      </w:r>
      <w:r w:rsidR="00E42CD0">
        <w:rPr>
          <w:b/>
        </w:rPr>
        <w:t>Tiffany Wang, M4</w:t>
      </w:r>
      <w:r w:rsidR="00432176">
        <w:rPr>
          <w:b/>
        </w:rPr>
        <w:t>/</w:t>
      </w:r>
      <w:r w:rsidR="00224480" w:rsidRPr="00F27F29">
        <w:rPr>
          <w:b/>
        </w:rPr>
        <w:t>Miranda Moore, PhD</w:t>
      </w:r>
      <w:r w:rsidRPr="00F27F29">
        <w:rPr>
          <w:b/>
        </w:rPr>
        <w:t>)</w:t>
      </w:r>
    </w:p>
    <w:p w:rsidR="00EA2886" w:rsidRPr="00900459" w:rsidRDefault="00EA2886" w:rsidP="00EA2886">
      <w:pPr>
        <w:pStyle w:val="ListParagraph"/>
        <w:ind w:left="2160"/>
      </w:pPr>
      <w:r>
        <w:rPr>
          <w:rStyle w:val="tx"/>
          <w:i/>
          <w:color w:val="548DD4" w:themeColor="text2" w:themeTint="99"/>
          <w:bdr w:val="none" w:sz="0" w:space="0" w:color="auto" w:frame="1"/>
        </w:rPr>
        <w:t>Primary Care Progress held a series of successful events to celebrate Primary Care Week Oct 1-7, 2017: Panel discussion</w:t>
      </w:r>
      <w:r w:rsidR="00151204">
        <w:rPr>
          <w:rStyle w:val="tx"/>
          <w:i/>
          <w:color w:val="548DD4" w:themeColor="text2" w:themeTint="99"/>
          <w:bdr w:val="none" w:sz="0" w:space="0" w:color="auto" w:frame="1"/>
        </w:rPr>
        <w:t xml:space="preserve"> </w:t>
      </w:r>
      <w:r w:rsidR="00151204" w:rsidRPr="00151204">
        <w:rPr>
          <w:rStyle w:val="tx"/>
          <w:i/>
          <w:color w:val="548DD4" w:themeColor="text2" w:themeTint="99"/>
          <w:bdr w:val="none" w:sz="0" w:space="0" w:color="auto" w:frame="1"/>
        </w:rPr>
        <w:t>"Taking an Interdisciplinary Approach to patient Empowerment</w:t>
      </w:r>
      <w:r w:rsidR="00151204">
        <w:rPr>
          <w:rStyle w:val="tx"/>
          <w:i/>
          <w:color w:val="548DD4" w:themeColor="text2" w:themeTint="99"/>
          <w:bdr w:val="none" w:sz="0" w:space="0" w:color="auto" w:frame="1"/>
        </w:rPr>
        <w:t>,</w:t>
      </w:r>
      <w:r w:rsidR="00151204" w:rsidRPr="00151204">
        <w:rPr>
          <w:rStyle w:val="tx"/>
          <w:i/>
          <w:color w:val="548DD4" w:themeColor="text2" w:themeTint="99"/>
          <w:bdr w:val="none" w:sz="0" w:space="0" w:color="auto" w:frame="1"/>
        </w:rPr>
        <w:t>"</w:t>
      </w:r>
      <w:r>
        <w:rPr>
          <w:rStyle w:val="tx"/>
          <w:i/>
          <w:color w:val="548DD4" w:themeColor="text2" w:themeTint="99"/>
          <w:bdr w:val="none" w:sz="0" w:space="0" w:color="auto" w:frame="1"/>
        </w:rPr>
        <w:t xml:space="preserve"> </w:t>
      </w:r>
      <w:r w:rsidR="00151204">
        <w:rPr>
          <w:rStyle w:val="tx"/>
          <w:i/>
          <w:color w:val="548DD4" w:themeColor="text2" w:themeTint="99"/>
          <w:bdr w:val="none" w:sz="0" w:space="0" w:color="auto" w:frame="1"/>
        </w:rPr>
        <w:t xml:space="preserve">dinner with </w:t>
      </w:r>
      <w:r w:rsidR="00151204" w:rsidRPr="00151204">
        <w:rPr>
          <w:rStyle w:val="tx"/>
          <w:i/>
          <w:color w:val="548DD4" w:themeColor="text2" w:themeTint="99"/>
          <w:bdr w:val="none" w:sz="0" w:space="0" w:color="auto" w:frame="1"/>
        </w:rPr>
        <w:t>Dr. McKenzie-Brown</w:t>
      </w:r>
      <w:r w:rsidR="00151204">
        <w:rPr>
          <w:rStyle w:val="tx"/>
          <w:i/>
          <w:color w:val="548DD4" w:themeColor="text2" w:themeTint="99"/>
          <w:bdr w:val="none" w:sz="0" w:space="0" w:color="auto" w:frame="1"/>
        </w:rPr>
        <w:t>, and a</w:t>
      </w:r>
      <w:r w:rsidR="00151204" w:rsidRPr="00151204">
        <w:rPr>
          <w:rStyle w:val="tx"/>
          <w:i/>
          <w:color w:val="548DD4" w:themeColor="text2" w:themeTint="99"/>
          <w:bdr w:val="none" w:sz="0" w:space="0" w:color="auto" w:frame="1"/>
        </w:rPr>
        <w:t xml:space="preserve"> </w:t>
      </w:r>
      <w:r w:rsidR="00151204">
        <w:rPr>
          <w:rStyle w:val="tx"/>
          <w:i/>
          <w:color w:val="548DD4" w:themeColor="text2" w:themeTint="99"/>
          <w:bdr w:val="none" w:sz="0" w:space="0" w:color="auto" w:frame="1"/>
        </w:rPr>
        <w:t>social</w:t>
      </w:r>
      <w:r>
        <w:rPr>
          <w:rStyle w:val="tx"/>
          <w:i/>
          <w:color w:val="548DD4" w:themeColor="text2" w:themeTint="99"/>
          <w:bdr w:val="none" w:sz="0" w:space="0" w:color="auto" w:frame="1"/>
        </w:rPr>
        <w:t xml:space="preserve"> </w:t>
      </w:r>
      <w:r w:rsidR="00151204">
        <w:rPr>
          <w:rStyle w:val="tx"/>
          <w:i/>
          <w:color w:val="548DD4" w:themeColor="text2" w:themeTint="99"/>
          <w:bdr w:val="none" w:sz="0" w:space="0" w:color="auto" w:frame="1"/>
        </w:rPr>
        <w:t>at Wild Haven.</w:t>
      </w:r>
    </w:p>
    <w:p w:rsidR="00BF6077" w:rsidRPr="00054E72" w:rsidRDefault="00224480" w:rsidP="00224480">
      <w:pPr>
        <w:pStyle w:val="ListParagraph"/>
        <w:numPr>
          <w:ilvl w:val="1"/>
          <w:numId w:val="5"/>
        </w:numPr>
      </w:pPr>
      <w:r>
        <w:t xml:space="preserve">Adjunct Faculty Appointment Process </w:t>
      </w:r>
      <w:r w:rsidRPr="00F27F29">
        <w:rPr>
          <w:b/>
        </w:rPr>
        <w:t>(Ted Johnson, MD, MPH)</w:t>
      </w:r>
    </w:p>
    <w:p w:rsidR="00054E72" w:rsidRPr="00A22BAE" w:rsidRDefault="00054E72" w:rsidP="00054E72">
      <w:pPr>
        <w:pStyle w:val="ListParagraph"/>
        <w:ind w:left="1440"/>
      </w:pPr>
      <w:r>
        <w:rPr>
          <w:rStyle w:val="tx"/>
          <w:i/>
          <w:color w:val="548DD4" w:themeColor="text2" w:themeTint="99"/>
          <w:bdr w:val="none" w:sz="0" w:space="0" w:color="auto" w:frame="1"/>
        </w:rPr>
        <w:t xml:space="preserve">The PCC will be processing applications for Adjunct Faculty Appointments going forward. The SOM approved our recommended process and implemented a term of February 1 – January </w:t>
      </w:r>
      <w:r>
        <w:rPr>
          <w:rStyle w:val="tx"/>
          <w:i/>
          <w:color w:val="548DD4" w:themeColor="text2" w:themeTint="99"/>
          <w:bdr w:val="none" w:sz="0" w:space="0" w:color="auto" w:frame="1"/>
        </w:rPr>
        <w:lastRenderedPageBreak/>
        <w:t>31. Any current or new applicants for adjunct faculty appointments will receive a term that ends February 1, 2019.</w:t>
      </w:r>
    </w:p>
    <w:p w:rsidR="007F2F1D" w:rsidRPr="00EF6404" w:rsidRDefault="00A22BAE" w:rsidP="007F2F1D">
      <w:pPr>
        <w:pStyle w:val="ListParagraph"/>
        <w:numPr>
          <w:ilvl w:val="1"/>
          <w:numId w:val="5"/>
        </w:numPr>
      </w:pPr>
      <w:r>
        <w:t xml:space="preserve">New PCC Administrative Positions </w:t>
      </w:r>
      <w:r w:rsidR="00987AE9" w:rsidRPr="007F2F1D">
        <w:rPr>
          <w:b/>
        </w:rPr>
        <w:t>(Ted Johnson, MD, MPH</w:t>
      </w:r>
      <w:r w:rsidR="00987AE9">
        <w:rPr>
          <w:b/>
        </w:rPr>
        <w:t>)</w:t>
      </w:r>
    </w:p>
    <w:p w:rsidR="00EF6404" w:rsidRDefault="00EF6404" w:rsidP="00EF6404">
      <w:pPr>
        <w:pStyle w:val="ListParagraph"/>
        <w:ind w:left="1440"/>
        <w:rPr>
          <w:rStyle w:val="tx"/>
          <w:i/>
          <w:color w:val="548DD4" w:themeColor="text2" w:themeTint="99"/>
          <w:bdr w:val="none" w:sz="0" w:space="0" w:color="auto" w:frame="1"/>
        </w:rPr>
      </w:pPr>
      <w:r>
        <w:rPr>
          <w:rStyle w:val="tx"/>
          <w:i/>
          <w:color w:val="548DD4" w:themeColor="text2" w:themeTint="99"/>
          <w:bdr w:val="none" w:sz="0" w:space="0" w:color="auto" w:frame="1"/>
        </w:rPr>
        <w:t>The PCC is hiring a VA Lead to help coordinate primary care activities between Emory and the VA. The PCC is also hiring a new Director to take Ted Johnson’s current role. Ted will remain affiliated with the PCC as an Executive Sponsor in the future.</w:t>
      </w:r>
    </w:p>
    <w:p w:rsidR="00EF6404" w:rsidRPr="00EE410E" w:rsidRDefault="00EF6404" w:rsidP="00EF6404">
      <w:pPr>
        <w:pStyle w:val="ListParagraph"/>
        <w:ind w:left="1440"/>
      </w:pPr>
    </w:p>
    <w:p w:rsidR="00EE410E" w:rsidRPr="00EE410E" w:rsidRDefault="00EE410E" w:rsidP="007F2F1D">
      <w:pPr>
        <w:pStyle w:val="ListParagraph"/>
        <w:numPr>
          <w:ilvl w:val="1"/>
          <w:numId w:val="5"/>
        </w:numPr>
      </w:pPr>
      <w:r w:rsidRPr="00EE410E">
        <w:t xml:space="preserve">Emory </w:t>
      </w:r>
      <w:r>
        <w:t xml:space="preserve">PCMH Transformation Update </w:t>
      </w:r>
      <w:r>
        <w:rPr>
          <w:b/>
        </w:rPr>
        <w:t xml:space="preserve">(Cathi Durham and Hasan </w:t>
      </w:r>
      <w:proofErr w:type="spellStart"/>
      <w:r>
        <w:rPr>
          <w:b/>
        </w:rPr>
        <w:t>Shibbir</w:t>
      </w:r>
      <w:proofErr w:type="spellEnd"/>
      <w:r>
        <w:rPr>
          <w:b/>
        </w:rPr>
        <w:t>, MD)</w:t>
      </w:r>
    </w:p>
    <w:p w:rsidR="00EF6404" w:rsidRPr="00EE410E" w:rsidRDefault="00EF6404" w:rsidP="00EF6404">
      <w:pPr>
        <w:ind w:left="1440"/>
        <w:rPr>
          <w:i/>
          <w:color w:val="548DD4" w:themeColor="text2" w:themeTint="99"/>
          <w:bdr w:val="none" w:sz="0" w:space="0" w:color="auto" w:frame="1"/>
        </w:rPr>
      </w:pPr>
      <w:r>
        <w:rPr>
          <w:rStyle w:val="tx"/>
          <w:i/>
          <w:color w:val="548DD4" w:themeColor="text2" w:themeTint="99"/>
          <w:bdr w:val="none" w:sz="0" w:space="0" w:color="auto" w:frame="1"/>
        </w:rPr>
        <w:t>There are 3 practices currently working on NCQA recognition</w:t>
      </w:r>
      <w:r w:rsidRPr="00EE410E">
        <w:rPr>
          <w:rStyle w:val="tx"/>
          <w:i/>
          <w:color w:val="548DD4" w:themeColor="text2" w:themeTint="99"/>
          <w:bdr w:val="none" w:sz="0" w:space="0" w:color="auto" w:frame="1"/>
        </w:rPr>
        <w:t>.</w:t>
      </w:r>
      <w:r>
        <w:rPr>
          <w:rStyle w:val="tx"/>
          <w:i/>
          <w:color w:val="548DD4" w:themeColor="text2" w:themeTint="99"/>
          <w:bdr w:val="none" w:sz="0" w:space="0" w:color="auto" w:frame="1"/>
        </w:rPr>
        <w:t xml:space="preserve"> The Dunwoody Family Medicine clinic just renewed under 2014 standards. Emory has decided not to require NCQA recognition going forward and will be working instead on developing their own model of ‘patient-centered care.’</w:t>
      </w:r>
    </w:p>
    <w:p w:rsidR="00EE410E" w:rsidRPr="007F2F1D" w:rsidRDefault="00EE410E" w:rsidP="00054E72">
      <w:pPr>
        <w:pStyle w:val="ListParagraph"/>
        <w:ind w:left="1440"/>
      </w:pPr>
    </w:p>
    <w:p w:rsidR="00A6141D" w:rsidRPr="00054E72" w:rsidRDefault="00A6141D" w:rsidP="007F2F1D">
      <w:pPr>
        <w:pStyle w:val="ListParagraph"/>
        <w:numPr>
          <w:ilvl w:val="0"/>
          <w:numId w:val="5"/>
        </w:numPr>
        <w:ind w:left="360"/>
      </w:pPr>
      <w:r>
        <w:t xml:space="preserve">Emory </w:t>
      </w:r>
      <w:r w:rsidR="00000AE5">
        <w:t>Learner Access</w:t>
      </w:r>
      <w:r>
        <w:t xml:space="preserve"> </w:t>
      </w:r>
      <w:r w:rsidR="004F45EE">
        <w:t>(</w:t>
      </w:r>
      <w:r w:rsidR="007F2F1D">
        <w:t>9</w:t>
      </w:r>
      <w:r w:rsidR="00000AE5">
        <w:t>0</w:t>
      </w:r>
      <w:r w:rsidRPr="003E0C98">
        <w:t xml:space="preserve"> minutes) </w:t>
      </w:r>
      <w:r w:rsidRPr="007F2F1D">
        <w:rPr>
          <w:b/>
        </w:rPr>
        <w:t>(</w:t>
      </w:r>
      <w:r w:rsidR="007F2F1D" w:rsidRPr="007F2F1D">
        <w:rPr>
          <w:b/>
        </w:rPr>
        <w:t xml:space="preserve">Ted Johnson, MD, MPH; </w:t>
      </w:r>
      <w:r w:rsidR="00000AE5" w:rsidRPr="007F2F1D">
        <w:rPr>
          <w:b/>
        </w:rPr>
        <w:t xml:space="preserve">Allison Leppke, </w:t>
      </w:r>
      <w:r w:rsidR="007F2F1D" w:rsidRPr="007F2F1D">
        <w:rPr>
          <w:b/>
        </w:rPr>
        <w:t xml:space="preserve">FNP, MSN, MPH; </w:t>
      </w:r>
      <w:r w:rsidR="00000AE5" w:rsidRPr="007F2F1D">
        <w:rPr>
          <w:b/>
        </w:rPr>
        <w:t>Danielle Jones, MD</w:t>
      </w:r>
      <w:r w:rsidR="007F2F1D" w:rsidRPr="007F2F1D">
        <w:rPr>
          <w:b/>
        </w:rPr>
        <w:t>; Loni Davidson</w:t>
      </w:r>
      <w:r w:rsidRPr="007F2F1D">
        <w:rPr>
          <w:b/>
        </w:rPr>
        <w:t>)</w:t>
      </w:r>
    </w:p>
    <w:p w:rsidR="00054E72" w:rsidRDefault="00054E72"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t xml:space="preserve">The group had a lively discussion centered </w:t>
      </w:r>
      <w:r w:rsidR="00EE410E">
        <w:rPr>
          <w:rStyle w:val="tx"/>
          <w:i/>
          <w:color w:val="548DD4" w:themeColor="text2" w:themeTint="99"/>
          <w:bdr w:val="none" w:sz="0" w:space="0" w:color="auto" w:frame="1"/>
        </w:rPr>
        <w:t>on</w:t>
      </w:r>
      <w:r>
        <w:rPr>
          <w:rStyle w:val="tx"/>
          <w:i/>
          <w:color w:val="548DD4" w:themeColor="text2" w:themeTint="99"/>
          <w:bdr w:val="none" w:sz="0" w:space="0" w:color="auto" w:frame="1"/>
        </w:rPr>
        <w:t xml:space="preserve"> information presented by Allison Leppke, Danielle Jones (via Ted Johnson), and Loni Davidson. </w:t>
      </w:r>
      <w:r w:rsidR="00AB7534">
        <w:rPr>
          <w:rStyle w:val="tx"/>
          <w:i/>
          <w:color w:val="548DD4" w:themeColor="text2" w:themeTint="99"/>
          <w:bdr w:val="none" w:sz="0" w:space="0" w:color="auto" w:frame="1"/>
        </w:rPr>
        <w:t xml:space="preserve">There were questions asked around who is compensated for teaching/precepting Emory learners (medical students, NP students, PA students, residents, fellows) and how they are compensated. </w:t>
      </w:r>
    </w:p>
    <w:p w:rsidR="00AB7534" w:rsidRDefault="00AB7534"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t xml:space="preserve">The group discussed the ‘leakages’ in our </w:t>
      </w:r>
      <w:proofErr w:type="spellStart"/>
      <w:r>
        <w:rPr>
          <w:rStyle w:val="tx"/>
          <w:i/>
          <w:color w:val="548DD4" w:themeColor="text2" w:themeTint="99"/>
          <w:bdr w:val="none" w:sz="0" w:space="0" w:color="auto" w:frame="1"/>
        </w:rPr>
        <w:t>pipleline</w:t>
      </w:r>
      <w:proofErr w:type="spellEnd"/>
      <w:r>
        <w:rPr>
          <w:rStyle w:val="tx"/>
          <w:i/>
          <w:color w:val="548DD4" w:themeColor="text2" w:themeTint="99"/>
          <w:bdr w:val="none" w:sz="0" w:space="0" w:color="auto" w:frame="1"/>
        </w:rPr>
        <w:t xml:space="preserve"> – i.e. </w:t>
      </w:r>
      <w:r w:rsidR="0066063F">
        <w:rPr>
          <w:rStyle w:val="tx"/>
          <w:i/>
          <w:color w:val="548DD4" w:themeColor="text2" w:themeTint="99"/>
          <w:bdr w:val="none" w:sz="0" w:space="0" w:color="auto" w:frame="1"/>
        </w:rPr>
        <w:t xml:space="preserve">Emory trained PA/NP students wanting to become PA/NP career professionals at Emory but not being able to be hired. What is the availability of slots at Emory for our learners as they graduate. </w:t>
      </w:r>
    </w:p>
    <w:p w:rsidR="0066063F" w:rsidRDefault="0066063F"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t>The group discussed the need to increase the number of preceptors and the number of students/rotations/hours each preceptor provides to the departments.</w:t>
      </w:r>
    </w:p>
    <w:p w:rsidR="0066063F" w:rsidRDefault="0066063F"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t>The group discussed the physician limitations of having additional learners, i.e. patient care requires an exam room be available. Emory could look at other methods of optimizing use of exam rooms. There are also financial considerations as physicians are required to precept and each preceptor needs to oversee at least 2 interns or they are losing out on revenue for the clinic.</w:t>
      </w:r>
    </w:p>
    <w:p w:rsidR="0066063F" w:rsidRDefault="0066063F"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t>The group discussed looking for examples of locations where each of these aspects of learners/teaching is currently being executed well. For example Dr. Phillip Rogers makes exceptional use of his students. How does he do this? What does he do exactly? Can it be replicated?</w:t>
      </w:r>
      <w:r>
        <w:rPr>
          <w:rStyle w:val="tx"/>
          <w:i/>
          <w:color w:val="548DD4" w:themeColor="text2" w:themeTint="99"/>
          <w:bdr w:val="none" w:sz="0" w:space="0" w:color="auto" w:frame="1"/>
        </w:rPr>
        <w:tab/>
      </w:r>
    </w:p>
    <w:p w:rsidR="0066063F" w:rsidRDefault="0066063F"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t>There was discussion that the perception of the preceptor/teacher is that student teaching takes time and money from themselves. How can the PCC / Emory change this perception to “Learners add VALUE to the practice.”?</w:t>
      </w:r>
    </w:p>
    <w:p w:rsidR="0066063F" w:rsidRDefault="0066063F"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t>Several of the attendees discussed how they were compensated for teaching/precepting as faculty at other institutions.</w:t>
      </w:r>
    </w:p>
    <w:p w:rsidR="0066063F" w:rsidRDefault="0066063F"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lastRenderedPageBreak/>
        <w:t>The group discussed the barrier of clinical faculty who are not interested in promotion or teaching.</w:t>
      </w:r>
    </w:p>
    <w:p w:rsidR="0066063F" w:rsidRDefault="0066063F" w:rsidP="00054E72">
      <w:pPr>
        <w:ind w:left="360"/>
        <w:rPr>
          <w:rStyle w:val="tx"/>
          <w:i/>
          <w:color w:val="548DD4" w:themeColor="text2" w:themeTint="99"/>
          <w:bdr w:val="none" w:sz="0" w:space="0" w:color="auto" w:frame="1"/>
        </w:rPr>
      </w:pPr>
      <w:r>
        <w:rPr>
          <w:rStyle w:val="tx"/>
          <w:i/>
          <w:color w:val="548DD4" w:themeColor="text2" w:themeTint="99"/>
          <w:bdr w:val="none" w:sz="0" w:space="0" w:color="auto" w:frame="1"/>
        </w:rPr>
        <w:t>The group decided on the following action items to undertake on this topic:</w:t>
      </w:r>
    </w:p>
    <w:p w:rsidR="0066063F" w:rsidRDefault="0066063F" w:rsidP="0066063F">
      <w:pPr>
        <w:pStyle w:val="ListParagraph"/>
        <w:numPr>
          <w:ilvl w:val="0"/>
          <w:numId w:val="9"/>
        </w:numPr>
        <w:rPr>
          <w:rStyle w:val="tx"/>
          <w:i/>
          <w:color w:val="548DD4" w:themeColor="text2" w:themeTint="99"/>
          <w:bdr w:val="none" w:sz="0" w:space="0" w:color="auto" w:frame="1"/>
        </w:rPr>
      </w:pPr>
      <w:r>
        <w:rPr>
          <w:rStyle w:val="tx"/>
          <w:i/>
          <w:color w:val="548DD4" w:themeColor="text2" w:themeTint="99"/>
          <w:bdr w:val="none" w:sz="0" w:space="0" w:color="auto" w:frame="1"/>
        </w:rPr>
        <w:t>Survey GIM faculty to determine what they are passionate about and their individual interest in precepting.</w:t>
      </w:r>
      <w:r w:rsidR="005758A5">
        <w:rPr>
          <w:rStyle w:val="tx"/>
          <w:i/>
          <w:color w:val="548DD4" w:themeColor="text2" w:themeTint="99"/>
          <w:bdr w:val="none" w:sz="0" w:space="0" w:color="auto" w:frame="1"/>
        </w:rPr>
        <w:t xml:space="preserve"> Translate the survey results into education for faculty / create directionality for compensating precepting.</w:t>
      </w:r>
    </w:p>
    <w:p w:rsidR="005758A5" w:rsidRDefault="005758A5" w:rsidP="0066063F">
      <w:pPr>
        <w:pStyle w:val="ListParagraph"/>
        <w:numPr>
          <w:ilvl w:val="0"/>
          <w:numId w:val="9"/>
        </w:numPr>
        <w:rPr>
          <w:rStyle w:val="tx"/>
          <w:i/>
          <w:color w:val="548DD4" w:themeColor="text2" w:themeTint="99"/>
          <w:bdr w:val="none" w:sz="0" w:space="0" w:color="auto" w:frame="1"/>
        </w:rPr>
      </w:pPr>
      <w:r>
        <w:rPr>
          <w:rStyle w:val="tx"/>
          <w:i/>
          <w:color w:val="548DD4" w:themeColor="text2" w:themeTint="99"/>
          <w:bdr w:val="none" w:sz="0" w:space="0" w:color="auto" w:frame="1"/>
        </w:rPr>
        <w:t>Craft messages that emphasize the VALUE of the learner in a clinical setting.</w:t>
      </w:r>
    </w:p>
    <w:p w:rsidR="005758A5" w:rsidRDefault="005758A5" w:rsidP="0066063F">
      <w:pPr>
        <w:pStyle w:val="ListParagraph"/>
        <w:numPr>
          <w:ilvl w:val="0"/>
          <w:numId w:val="9"/>
        </w:numPr>
        <w:rPr>
          <w:rStyle w:val="tx"/>
          <w:i/>
          <w:color w:val="548DD4" w:themeColor="text2" w:themeTint="99"/>
          <w:bdr w:val="none" w:sz="0" w:space="0" w:color="auto" w:frame="1"/>
        </w:rPr>
      </w:pPr>
      <w:r>
        <w:rPr>
          <w:rStyle w:val="tx"/>
          <w:i/>
          <w:color w:val="548DD4" w:themeColor="text2" w:themeTint="99"/>
          <w:bdr w:val="none" w:sz="0" w:space="0" w:color="auto" w:frame="1"/>
        </w:rPr>
        <w:t>Monetize the production of a learner and calculate the ‘replacement cost’ to Emory of having to replace an NP/PA/MA/nurse/physician – i.e. benefit to increasing retention.</w:t>
      </w:r>
    </w:p>
    <w:p w:rsidR="005758A5" w:rsidRDefault="005758A5" w:rsidP="0066063F">
      <w:pPr>
        <w:pStyle w:val="ListParagraph"/>
        <w:numPr>
          <w:ilvl w:val="0"/>
          <w:numId w:val="9"/>
        </w:numPr>
        <w:rPr>
          <w:rStyle w:val="tx"/>
          <w:i/>
          <w:color w:val="548DD4" w:themeColor="text2" w:themeTint="99"/>
          <w:bdr w:val="none" w:sz="0" w:space="0" w:color="auto" w:frame="1"/>
        </w:rPr>
      </w:pPr>
      <w:r>
        <w:rPr>
          <w:rStyle w:val="tx"/>
          <w:i/>
          <w:color w:val="548DD4" w:themeColor="text2" w:themeTint="99"/>
          <w:bdr w:val="none" w:sz="0" w:space="0" w:color="auto" w:frame="1"/>
        </w:rPr>
        <w:t>Find out if the APPs have access to the EMR to write patient notes</w:t>
      </w:r>
    </w:p>
    <w:p w:rsidR="005758A5" w:rsidRDefault="005758A5" w:rsidP="0066063F">
      <w:pPr>
        <w:pStyle w:val="ListParagraph"/>
        <w:numPr>
          <w:ilvl w:val="0"/>
          <w:numId w:val="9"/>
        </w:numPr>
        <w:rPr>
          <w:rStyle w:val="tx"/>
          <w:i/>
          <w:color w:val="548DD4" w:themeColor="text2" w:themeTint="99"/>
          <w:bdr w:val="none" w:sz="0" w:space="0" w:color="auto" w:frame="1"/>
        </w:rPr>
      </w:pPr>
      <w:r>
        <w:rPr>
          <w:rStyle w:val="tx"/>
          <w:i/>
          <w:color w:val="548DD4" w:themeColor="text2" w:themeTint="99"/>
          <w:bdr w:val="none" w:sz="0" w:space="0" w:color="auto" w:frame="1"/>
        </w:rPr>
        <w:t xml:space="preserve">Create grids of competencies of each type of students (NP/PA/med student/residents) at each year (Year 1, </w:t>
      </w:r>
      <w:proofErr w:type="spellStart"/>
      <w:r>
        <w:rPr>
          <w:rStyle w:val="tx"/>
          <w:i/>
          <w:color w:val="548DD4" w:themeColor="text2" w:themeTint="99"/>
          <w:bdr w:val="none" w:sz="0" w:space="0" w:color="auto" w:frame="1"/>
        </w:rPr>
        <w:t>etc</w:t>
      </w:r>
      <w:proofErr w:type="spellEnd"/>
      <w:r>
        <w:rPr>
          <w:rStyle w:val="tx"/>
          <w:i/>
          <w:color w:val="548DD4" w:themeColor="text2" w:themeTint="99"/>
          <w:bdr w:val="none" w:sz="0" w:space="0" w:color="auto" w:frame="1"/>
        </w:rPr>
        <w:t>).</w:t>
      </w:r>
    </w:p>
    <w:p w:rsidR="005758A5" w:rsidRDefault="005758A5" w:rsidP="0066063F">
      <w:pPr>
        <w:pStyle w:val="ListParagraph"/>
        <w:numPr>
          <w:ilvl w:val="0"/>
          <w:numId w:val="9"/>
        </w:numPr>
        <w:rPr>
          <w:rStyle w:val="tx"/>
          <w:i/>
          <w:color w:val="548DD4" w:themeColor="text2" w:themeTint="99"/>
          <w:bdr w:val="none" w:sz="0" w:space="0" w:color="auto" w:frame="1"/>
        </w:rPr>
      </w:pPr>
      <w:r>
        <w:rPr>
          <w:rStyle w:val="tx"/>
          <w:i/>
          <w:color w:val="548DD4" w:themeColor="text2" w:themeTint="99"/>
          <w:bdr w:val="none" w:sz="0" w:space="0" w:color="auto" w:frame="1"/>
        </w:rPr>
        <w:t>How do we apply these ideas to non-Emory preceptors/teachers?</w:t>
      </w:r>
    </w:p>
    <w:p w:rsidR="005758A5" w:rsidRDefault="005758A5" w:rsidP="0066063F">
      <w:pPr>
        <w:pStyle w:val="ListParagraph"/>
        <w:numPr>
          <w:ilvl w:val="0"/>
          <w:numId w:val="9"/>
        </w:numPr>
        <w:rPr>
          <w:rStyle w:val="tx"/>
          <w:i/>
          <w:color w:val="548DD4" w:themeColor="text2" w:themeTint="99"/>
          <w:bdr w:val="none" w:sz="0" w:space="0" w:color="auto" w:frame="1"/>
        </w:rPr>
      </w:pPr>
      <w:r>
        <w:rPr>
          <w:rStyle w:val="tx"/>
          <w:i/>
          <w:color w:val="548DD4" w:themeColor="text2" w:themeTint="99"/>
          <w:bdr w:val="none" w:sz="0" w:space="0" w:color="auto" w:frame="1"/>
        </w:rPr>
        <w:t>Explore how to offer “Best Tips” for things like how to use the EMR.</w:t>
      </w:r>
    </w:p>
    <w:p w:rsidR="005758A5" w:rsidRDefault="005758A5" w:rsidP="005758A5">
      <w:pPr>
        <w:pStyle w:val="ListParagraph"/>
        <w:rPr>
          <w:rStyle w:val="tx"/>
          <w:i/>
          <w:color w:val="548DD4" w:themeColor="text2" w:themeTint="99"/>
          <w:bdr w:val="none" w:sz="0" w:space="0" w:color="auto" w:frame="1"/>
        </w:rPr>
      </w:pPr>
    </w:p>
    <w:p w:rsidR="00552539" w:rsidRPr="00F27F29" w:rsidRDefault="00552539" w:rsidP="00552539">
      <w:pPr>
        <w:pStyle w:val="ListParagraph"/>
        <w:numPr>
          <w:ilvl w:val="0"/>
          <w:numId w:val="5"/>
        </w:numPr>
        <w:ind w:left="360"/>
      </w:pPr>
      <w:r w:rsidRPr="00F27F29">
        <w:t>Meeting Wrap-up</w:t>
      </w:r>
      <w:r w:rsidR="00BF423D" w:rsidRPr="00F27F29">
        <w:t xml:space="preserve"> (5 minutes)</w:t>
      </w:r>
      <w:r w:rsidRPr="00F27F29">
        <w:t xml:space="preserve"> </w:t>
      </w:r>
      <w:r w:rsidRPr="00F27F29">
        <w:rPr>
          <w:b/>
        </w:rPr>
        <w:t>(Miranda Moore, PhD)</w:t>
      </w:r>
    </w:p>
    <w:p w:rsidR="00D80ACE" w:rsidRPr="00F27F29" w:rsidRDefault="00D80ACE" w:rsidP="00D80ACE">
      <w:pPr>
        <w:pStyle w:val="ListParagraph"/>
        <w:numPr>
          <w:ilvl w:val="1"/>
          <w:numId w:val="5"/>
        </w:numPr>
      </w:pPr>
      <w:r w:rsidRPr="00F27F29">
        <w:t>Review any task assignments</w:t>
      </w:r>
    </w:p>
    <w:p w:rsidR="00853804" w:rsidRDefault="00552539" w:rsidP="004F45EE">
      <w:pPr>
        <w:pStyle w:val="ListParagraph"/>
        <w:numPr>
          <w:ilvl w:val="1"/>
          <w:numId w:val="5"/>
        </w:numPr>
        <w:spacing w:after="0"/>
      </w:pPr>
      <w:r w:rsidRPr="00F27F29">
        <w:t>Next meeting:</w:t>
      </w:r>
      <w:r w:rsidR="00490D67" w:rsidRPr="00F27F29">
        <w:t xml:space="preserve"> </w:t>
      </w:r>
      <w:r w:rsidRPr="00F27F29">
        <w:t xml:space="preserve"> </w:t>
      </w:r>
      <w:r w:rsidR="00000AE5">
        <w:t>March</w:t>
      </w:r>
      <w:r w:rsidR="00B33C0F">
        <w:t xml:space="preserve"> </w:t>
      </w:r>
      <w:r w:rsidR="00F27F29" w:rsidRPr="00F27F29">
        <w:t>201</w:t>
      </w:r>
      <w:r w:rsidR="00000AE5">
        <w:t>8</w:t>
      </w:r>
      <w:r w:rsidR="00E42CD0">
        <w:t xml:space="preserve"> / </w:t>
      </w:r>
      <w:r w:rsidR="00000AE5">
        <w:t xml:space="preserve">April </w:t>
      </w:r>
      <w:r w:rsidR="00E42CD0">
        <w:t>2018</w:t>
      </w:r>
    </w:p>
    <w:p w:rsidR="005C1545" w:rsidRDefault="005C1545" w:rsidP="00E42CD0">
      <w:pPr>
        <w:pStyle w:val="Footer"/>
      </w:pPr>
    </w:p>
    <w:p w:rsidR="00E42CD0" w:rsidRPr="00CE4C38" w:rsidRDefault="00E42CD0"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b/>
          <w:i/>
          <w:sz w:val="20"/>
        </w:rPr>
        <w:t>Vision</w:t>
      </w:r>
      <w:r w:rsidRPr="00CE4C38">
        <w:rPr>
          <w:sz w:val="20"/>
        </w:rPr>
        <w:t>: Careers in primary care are viable, sustainable, and rewarding. Emory becomes a destination for training and working in primary care.</w:t>
      </w:r>
    </w:p>
    <w:p w:rsidR="00E42CD0" w:rsidRPr="00CE4C38" w:rsidRDefault="00E42CD0" w:rsidP="004F45EE">
      <w:pPr>
        <w:pStyle w:val="Footer"/>
        <w:pBdr>
          <w:top w:val="doubleWave" w:sz="6" w:space="1" w:color="auto"/>
          <w:left w:val="doubleWave" w:sz="6" w:space="4" w:color="auto"/>
          <w:bottom w:val="doubleWave" w:sz="6" w:space="1" w:color="auto"/>
          <w:right w:val="doubleWave" w:sz="6" w:space="4" w:color="auto"/>
        </w:pBdr>
        <w:rPr>
          <w:sz w:val="20"/>
        </w:rPr>
      </w:pPr>
    </w:p>
    <w:p w:rsidR="00E42CD0" w:rsidRPr="00CE4C38" w:rsidRDefault="00E42CD0"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b/>
          <w:i/>
          <w:sz w:val="20"/>
        </w:rPr>
        <w:t>Mission</w:t>
      </w:r>
      <w:r w:rsidRPr="00CE4C38">
        <w:rPr>
          <w:sz w:val="20"/>
        </w:rPr>
        <w:t xml:space="preserve">:  To promote a positive, diverse culture of collaboration and engagement that supports high value and quality patient-centered primary care, discovery and innovation. </w:t>
      </w:r>
    </w:p>
    <w:p w:rsidR="00E42CD0" w:rsidRPr="00CE4C38" w:rsidRDefault="00E42CD0" w:rsidP="004F45EE">
      <w:pPr>
        <w:pStyle w:val="Footer"/>
        <w:pBdr>
          <w:top w:val="doubleWave" w:sz="6" w:space="1" w:color="auto"/>
          <w:left w:val="doubleWave" w:sz="6" w:space="4" w:color="auto"/>
          <w:bottom w:val="doubleWave" w:sz="6" w:space="1" w:color="auto"/>
          <w:right w:val="doubleWave" w:sz="6" w:space="4" w:color="auto"/>
        </w:pBdr>
        <w:rPr>
          <w:sz w:val="20"/>
        </w:rPr>
      </w:pPr>
    </w:p>
    <w:p w:rsidR="005C1545" w:rsidRPr="00CE4C38" w:rsidRDefault="00E42CD0"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b/>
          <w:i/>
          <w:sz w:val="20"/>
        </w:rPr>
        <w:t>Goals</w:t>
      </w:r>
      <w:r w:rsidRPr="00CE4C38">
        <w:rPr>
          <w:sz w:val="20"/>
        </w:rPr>
        <w:t xml:space="preserve">: </w:t>
      </w:r>
    </w:p>
    <w:p w:rsidR="005C1545" w:rsidRPr="00CE4C38" w:rsidRDefault="005C1545"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sz w:val="20"/>
        </w:rPr>
        <w:t xml:space="preserve">- </w:t>
      </w:r>
      <w:r w:rsidR="00E42CD0" w:rsidRPr="00CE4C38">
        <w:rPr>
          <w:sz w:val="20"/>
        </w:rPr>
        <w:t xml:space="preserve">To offer and sustain opportunities for excellence in clinical practice, scholarship, research, education, and </w:t>
      </w:r>
    </w:p>
    <w:p w:rsidR="005C1545" w:rsidRPr="00CE4C38" w:rsidRDefault="005C1545"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sz w:val="20"/>
        </w:rPr>
        <w:t xml:space="preserve">  </w:t>
      </w:r>
      <w:r w:rsidR="00E42CD0" w:rsidRPr="00CE4C38">
        <w:rPr>
          <w:sz w:val="20"/>
        </w:rPr>
        <w:t xml:space="preserve">leadership. </w:t>
      </w:r>
    </w:p>
    <w:p w:rsidR="005C1545" w:rsidRPr="00CE4C38" w:rsidRDefault="005C1545"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sz w:val="20"/>
        </w:rPr>
        <w:t xml:space="preserve">- </w:t>
      </w:r>
      <w:r w:rsidR="00E42CD0" w:rsidRPr="00CE4C38">
        <w:rPr>
          <w:sz w:val="20"/>
        </w:rPr>
        <w:t xml:space="preserve">To serve as a focal point for implementation and on-going integration of activities supporting primary care </w:t>
      </w:r>
      <w:r w:rsidRPr="00CE4C38">
        <w:rPr>
          <w:sz w:val="20"/>
        </w:rPr>
        <w:t xml:space="preserve">- </w:t>
      </w:r>
      <w:r w:rsidR="00E42CD0" w:rsidRPr="00CE4C38">
        <w:rPr>
          <w:sz w:val="20"/>
        </w:rPr>
        <w:t>across the departments, schools, health systems and communities.</w:t>
      </w:r>
    </w:p>
    <w:p w:rsidR="005C1545" w:rsidRPr="00CE4C38" w:rsidRDefault="005C1545"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sz w:val="20"/>
        </w:rPr>
        <w:t xml:space="preserve">- </w:t>
      </w:r>
      <w:r w:rsidR="00E42CD0" w:rsidRPr="00CE4C38">
        <w:rPr>
          <w:sz w:val="20"/>
        </w:rPr>
        <w:t xml:space="preserve">To support further growth of high-functioning, interdisciplinary, teams, and expand the pipeline of primary </w:t>
      </w:r>
    </w:p>
    <w:p w:rsidR="005C1545" w:rsidRPr="00CE4C38" w:rsidRDefault="005C1545"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sz w:val="20"/>
        </w:rPr>
        <w:t xml:space="preserve">  </w:t>
      </w:r>
      <w:r w:rsidR="00E42CD0" w:rsidRPr="00CE4C38">
        <w:rPr>
          <w:sz w:val="20"/>
        </w:rPr>
        <w:t>care leaders, clinicians, and researchers.</w:t>
      </w:r>
    </w:p>
    <w:p w:rsidR="00E42CD0" w:rsidRPr="00CE4C38" w:rsidRDefault="005C1545" w:rsidP="004F45EE">
      <w:pPr>
        <w:pStyle w:val="Footer"/>
        <w:pBdr>
          <w:top w:val="doubleWave" w:sz="6" w:space="1" w:color="auto"/>
          <w:left w:val="doubleWave" w:sz="6" w:space="4" w:color="auto"/>
          <w:bottom w:val="doubleWave" w:sz="6" w:space="1" w:color="auto"/>
          <w:right w:val="doubleWave" w:sz="6" w:space="4" w:color="auto"/>
        </w:pBdr>
        <w:rPr>
          <w:sz w:val="20"/>
        </w:rPr>
      </w:pPr>
      <w:r w:rsidRPr="00CE4C38">
        <w:rPr>
          <w:sz w:val="20"/>
        </w:rPr>
        <w:t xml:space="preserve">- </w:t>
      </w:r>
      <w:r w:rsidR="00E42CD0" w:rsidRPr="00CE4C38">
        <w:rPr>
          <w:sz w:val="20"/>
        </w:rPr>
        <w:t>To support learner focused initiatives.</w:t>
      </w:r>
    </w:p>
    <w:p w:rsidR="005C1545" w:rsidRPr="00CE4C38" w:rsidRDefault="005C1545" w:rsidP="004F45EE">
      <w:pPr>
        <w:pStyle w:val="Footer"/>
        <w:pBdr>
          <w:top w:val="doubleWave" w:sz="6" w:space="1" w:color="auto"/>
          <w:left w:val="doubleWave" w:sz="6" w:space="4" w:color="auto"/>
          <w:bottom w:val="doubleWave" w:sz="6" w:space="1" w:color="auto"/>
          <w:right w:val="doubleWave" w:sz="6" w:space="4" w:color="auto"/>
        </w:pBdr>
        <w:rPr>
          <w:sz w:val="20"/>
        </w:rPr>
      </w:pPr>
    </w:p>
    <w:p w:rsidR="004F45EE" w:rsidRPr="00CE4C38" w:rsidRDefault="00E42CD0" w:rsidP="004F45EE">
      <w:pPr>
        <w:pBdr>
          <w:top w:val="doubleWave" w:sz="6" w:space="1" w:color="auto"/>
          <w:left w:val="doubleWave" w:sz="6" w:space="4" w:color="auto"/>
          <w:bottom w:val="doubleWave" w:sz="6" w:space="1" w:color="auto"/>
          <w:right w:val="doubleWave" w:sz="6" w:space="4" w:color="auto"/>
        </w:pBdr>
        <w:spacing w:after="0" w:line="240" w:lineRule="auto"/>
        <w:rPr>
          <w:sz w:val="20"/>
        </w:rPr>
      </w:pPr>
      <w:r w:rsidRPr="00CE4C38">
        <w:rPr>
          <w:b/>
          <w:i/>
          <w:sz w:val="20"/>
        </w:rPr>
        <w:t>Activities</w:t>
      </w:r>
      <w:r w:rsidRPr="00CE4C38">
        <w:rPr>
          <w:sz w:val="20"/>
        </w:rPr>
        <w:t>:</w:t>
      </w:r>
    </w:p>
    <w:p w:rsidR="005C1545" w:rsidRPr="00CE4C38" w:rsidRDefault="005C1545" w:rsidP="004F45EE">
      <w:pPr>
        <w:pBdr>
          <w:top w:val="doubleWave" w:sz="6" w:space="1" w:color="auto"/>
          <w:left w:val="doubleWave" w:sz="6" w:space="4" w:color="auto"/>
          <w:bottom w:val="doubleWave" w:sz="6" w:space="1" w:color="auto"/>
          <w:right w:val="doubleWave" w:sz="6" w:space="4" w:color="auto"/>
        </w:pBdr>
        <w:spacing w:after="0" w:line="240" w:lineRule="auto"/>
        <w:rPr>
          <w:sz w:val="20"/>
        </w:rPr>
      </w:pPr>
      <w:r w:rsidRPr="00CE4C38">
        <w:rPr>
          <w:sz w:val="20"/>
        </w:rPr>
        <w:t xml:space="preserve">- </w:t>
      </w:r>
      <w:r w:rsidR="00E42CD0" w:rsidRPr="00CE4C38">
        <w:rPr>
          <w:sz w:val="20"/>
        </w:rPr>
        <w:t>Faculty Engagement, Promotion, Recruitment, and Retention</w:t>
      </w:r>
    </w:p>
    <w:p w:rsidR="00EF48F4" w:rsidRDefault="005C1545" w:rsidP="004F45EE">
      <w:pPr>
        <w:pBdr>
          <w:top w:val="doubleWave" w:sz="6" w:space="1" w:color="auto"/>
          <w:left w:val="doubleWave" w:sz="6" w:space="4" w:color="auto"/>
          <w:bottom w:val="doubleWave" w:sz="6" w:space="1" w:color="auto"/>
          <w:right w:val="doubleWave" w:sz="6" w:space="4" w:color="auto"/>
        </w:pBdr>
        <w:spacing w:after="0" w:line="240" w:lineRule="auto"/>
        <w:rPr>
          <w:sz w:val="20"/>
        </w:rPr>
      </w:pPr>
      <w:r w:rsidRPr="00CE4C38">
        <w:rPr>
          <w:sz w:val="20"/>
        </w:rPr>
        <w:t xml:space="preserve">- </w:t>
      </w:r>
      <w:r w:rsidR="00E42CD0" w:rsidRPr="00CE4C38">
        <w:rPr>
          <w:sz w:val="20"/>
        </w:rPr>
        <w:t>Funding Support for Student Groups, Emory Primary Care Branding/Outreach (External and Internal</w:t>
      </w:r>
      <w:r w:rsidRPr="00CE4C38">
        <w:rPr>
          <w:sz w:val="20"/>
        </w:rPr>
        <w:t xml:space="preserve"> </w:t>
      </w:r>
      <w:r w:rsidR="00E42CD0" w:rsidRPr="00CE4C38">
        <w:rPr>
          <w:sz w:val="20"/>
        </w:rPr>
        <w:t xml:space="preserve">Audiences), </w:t>
      </w:r>
    </w:p>
    <w:p w:rsidR="005C1545" w:rsidRPr="00CE4C38" w:rsidRDefault="00EF48F4" w:rsidP="004F45EE">
      <w:pPr>
        <w:pBdr>
          <w:top w:val="doubleWave" w:sz="6" w:space="1" w:color="auto"/>
          <w:left w:val="doubleWave" w:sz="6" w:space="4" w:color="auto"/>
          <w:bottom w:val="doubleWave" w:sz="6" w:space="1" w:color="auto"/>
          <w:right w:val="doubleWave" w:sz="6" w:space="4" w:color="auto"/>
        </w:pBdr>
        <w:spacing w:after="0" w:line="240" w:lineRule="auto"/>
        <w:rPr>
          <w:sz w:val="20"/>
        </w:rPr>
      </w:pPr>
      <w:r>
        <w:rPr>
          <w:sz w:val="20"/>
        </w:rPr>
        <w:t xml:space="preserve">   </w:t>
      </w:r>
      <w:r w:rsidR="00E42CD0" w:rsidRPr="00CE4C38">
        <w:rPr>
          <w:sz w:val="20"/>
        </w:rPr>
        <w:t>Individual Project Grants</w:t>
      </w:r>
    </w:p>
    <w:p w:rsidR="00E42CD0" w:rsidRPr="00CE4C38" w:rsidRDefault="005C1545" w:rsidP="004F45EE">
      <w:pPr>
        <w:pBdr>
          <w:top w:val="doubleWave" w:sz="6" w:space="1" w:color="auto"/>
          <w:left w:val="doubleWave" w:sz="6" w:space="4" w:color="auto"/>
          <w:bottom w:val="doubleWave" w:sz="6" w:space="1" w:color="auto"/>
          <w:right w:val="doubleWave" w:sz="6" w:space="4" w:color="auto"/>
        </w:pBdr>
        <w:spacing w:after="0" w:line="240" w:lineRule="auto"/>
        <w:rPr>
          <w:sz w:val="20"/>
        </w:rPr>
      </w:pPr>
      <w:r w:rsidRPr="00CE4C38">
        <w:rPr>
          <w:sz w:val="20"/>
        </w:rPr>
        <w:t xml:space="preserve">- </w:t>
      </w:r>
      <w:r w:rsidR="00E42CD0" w:rsidRPr="00CE4C38">
        <w:rPr>
          <w:sz w:val="20"/>
        </w:rPr>
        <w:t xml:space="preserve">Cataloging </w:t>
      </w:r>
      <w:r w:rsidR="004F45EE" w:rsidRPr="00CE4C38">
        <w:rPr>
          <w:sz w:val="20"/>
        </w:rPr>
        <w:t xml:space="preserve">and Promoting </w:t>
      </w:r>
      <w:r w:rsidR="00E42CD0" w:rsidRPr="00CE4C38">
        <w:rPr>
          <w:sz w:val="20"/>
        </w:rPr>
        <w:t>Emory</w:t>
      </w:r>
      <w:r w:rsidRPr="00CE4C38">
        <w:rPr>
          <w:sz w:val="20"/>
        </w:rPr>
        <w:t>’s</w:t>
      </w:r>
      <w:r w:rsidR="00E42CD0" w:rsidRPr="00CE4C38">
        <w:rPr>
          <w:sz w:val="20"/>
        </w:rPr>
        <w:t xml:space="preserve"> Primary Care Activities/Projects/Efforts</w:t>
      </w:r>
    </w:p>
    <w:sectPr w:rsidR="00E42CD0" w:rsidRPr="00CE4C38" w:rsidSect="00CE4C38">
      <w:headerReference w:type="default" r:id="rId7"/>
      <w:pgSz w:w="12240" w:h="15840"/>
      <w:pgMar w:top="108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DC5" w:rsidRDefault="00C96DC5" w:rsidP="00853804">
      <w:pPr>
        <w:spacing w:after="0" w:line="240" w:lineRule="auto"/>
      </w:pPr>
      <w:r>
        <w:separator/>
      </w:r>
    </w:p>
  </w:endnote>
  <w:endnote w:type="continuationSeparator" w:id="0">
    <w:p w:rsidR="00C96DC5" w:rsidRDefault="00C96DC5" w:rsidP="0085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DC5" w:rsidRDefault="00C96DC5" w:rsidP="00853804">
      <w:pPr>
        <w:spacing w:after="0" w:line="240" w:lineRule="auto"/>
      </w:pPr>
      <w:r>
        <w:separator/>
      </w:r>
    </w:p>
  </w:footnote>
  <w:footnote w:type="continuationSeparator" w:id="0">
    <w:p w:rsidR="00C96DC5" w:rsidRDefault="00C96DC5" w:rsidP="00853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0F" w:rsidRDefault="0043750F">
    <w:pPr>
      <w:pStyle w:val="Header"/>
    </w:pPr>
    <w:r>
      <w:rPr>
        <w:noProof/>
      </w:rPr>
      <w:drawing>
        <wp:inline distT="0" distB="0" distL="0" distR="0">
          <wp:extent cx="5943600" cy="767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PrimaryCareConsortium_hz_280b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67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A6A"/>
    <w:multiLevelType w:val="hybridMultilevel"/>
    <w:tmpl w:val="9398D532"/>
    <w:lvl w:ilvl="0" w:tplc="36469C08">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146925"/>
    <w:multiLevelType w:val="hybridMultilevel"/>
    <w:tmpl w:val="1682F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009EC"/>
    <w:multiLevelType w:val="hybridMultilevel"/>
    <w:tmpl w:val="8CF61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5631"/>
    <w:multiLevelType w:val="hybridMultilevel"/>
    <w:tmpl w:val="CEC4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3043C"/>
    <w:multiLevelType w:val="hybridMultilevel"/>
    <w:tmpl w:val="44F49972"/>
    <w:lvl w:ilvl="0" w:tplc="36469C08">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331114"/>
    <w:multiLevelType w:val="hybridMultilevel"/>
    <w:tmpl w:val="B252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3455E"/>
    <w:multiLevelType w:val="hybridMultilevel"/>
    <w:tmpl w:val="DD58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6475C"/>
    <w:multiLevelType w:val="hybridMultilevel"/>
    <w:tmpl w:val="A4B2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B49AA"/>
    <w:multiLevelType w:val="hybridMultilevel"/>
    <w:tmpl w:val="6C8CCC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8"/>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04"/>
    <w:rsid w:val="00000AE5"/>
    <w:rsid w:val="00054E72"/>
    <w:rsid w:val="00056563"/>
    <w:rsid w:val="00077B41"/>
    <w:rsid w:val="00096C00"/>
    <w:rsid w:val="000A7FE7"/>
    <w:rsid w:val="000D1AC4"/>
    <w:rsid w:val="000E3446"/>
    <w:rsid w:val="00143E51"/>
    <w:rsid w:val="00151204"/>
    <w:rsid w:val="00197370"/>
    <w:rsid w:val="001C70FE"/>
    <w:rsid w:val="00224480"/>
    <w:rsid w:val="00286088"/>
    <w:rsid w:val="002A46E1"/>
    <w:rsid w:val="002B0D9B"/>
    <w:rsid w:val="0036583F"/>
    <w:rsid w:val="003B32F2"/>
    <w:rsid w:val="003E0C98"/>
    <w:rsid w:val="00432176"/>
    <w:rsid w:val="004325AA"/>
    <w:rsid w:val="004335BE"/>
    <w:rsid w:val="00433D5A"/>
    <w:rsid w:val="0043750F"/>
    <w:rsid w:val="00452061"/>
    <w:rsid w:val="00454919"/>
    <w:rsid w:val="00466D60"/>
    <w:rsid w:val="00490D67"/>
    <w:rsid w:val="004946DA"/>
    <w:rsid w:val="004F45EE"/>
    <w:rsid w:val="0051493D"/>
    <w:rsid w:val="00531C81"/>
    <w:rsid w:val="00550296"/>
    <w:rsid w:val="00550775"/>
    <w:rsid w:val="00551B30"/>
    <w:rsid w:val="00552539"/>
    <w:rsid w:val="005758A5"/>
    <w:rsid w:val="005A4653"/>
    <w:rsid w:val="005A58CA"/>
    <w:rsid w:val="005B4923"/>
    <w:rsid w:val="005C1545"/>
    <w:rsid w:val="0060790F"/>
    <w:rsid w:val="006467B3"/>
    <w:rsid w:val="0066063F"/>
    <w:rsid w:val="0066784A"/>
    <w:rsid w:val="00692489"/>
    <w:rsid w:val="006926DA"/>
    <w:rsid w:val="006B2B2F"/>
    <w:rsid w:val="006B6D79"/>
    <w:rsid w:val="006E5B50"/>
    <w:rsid w:val="006F7EF0"/>
    <w:rsid w:val="007156BA"/>
    <w:rsid w:val="00720B00"/>
    <w:rsid w:val="00730D1A"/>
    <w:rsid w:val="007347F3"/>
    <w:rsid w:val="00760F4F"/>
    <w:rsid w:val="007D30F7"/>
    <w:rsid w:val="007F2F1D"/>
    <w:rsid w:val="00813FAC"/>
    <w:rsid w:val="00853804"/>
    <w:rsid w:val="00865B15"/>
    <w:rsid w:val="00887F62"/>
    <w:rsid w:val="008B01C7"/>
    <w:rsid w:val="008C28FF"/>
    <w:rsid w:val="00900459"/>
    <w:rsid w:val="00973B5C"/>
    <w:rsid w:val="00977165"/>
    <w:rsid w:val="009775DC"/>
    <w:rsid w:val="00987AE9"/>
    <w:rsid w:val="009920CF"/>
    <w:rsid w:val="00993FC9"/>
    <w:rsid w:val="009B31A8"/>
    <w:rsid w:val="009B3F17"/>
    <w:rsid w:val="009D4D5D"/>
    <w:rsid w:val="00A07B90"/>
    <w:rsid w:val="00A22BAE"/>
    <w:rsid w:val="00A26FD2"/>
    <w:rsid w:val="00A5145D"/>
    <w:rsid w:val="00A55D65"/>
    <w:rsid w:val="00A6141D"/>
    <w:rsid w:val="00AB7534"/>
    <w:rsid w:val="00AC095F"/>
    <w:rsid w:val="00AD4B22"/>
    <w:rsid w:val="00AE7AC7"/>
    <w:rsid w:val="00AF3F20"/>
    <w:rsid w:val="00B00B8A"/>
    <w:rsid w:val="00B33C0F"/>
    <w:rsid w:val="00B344AD"/>
    <w:rsid w:val="00B85CCB"/>
    <w:rsid w:val="00BF423D"/>
    <w:rsid w:val="00BF6077"/>
    <w:rsid w:val="00C16D85"/>
    <w:rsid w:val="00C627AD"/>
    <w:rsid w:val="00C8193F"/>
    <w:rsid w:val="00C830E1"/>
    <w:rsid w:val="00C93C11"/>
    <w:rsid w:val="00C96DC5"/>
    <w:rsid w:val="00CE4C38"/>
    <w:rsid w:val="00CE4EA4"/>
    <w:rsid w:val="00D13C83"/>
    <w:rsid w:val="00D50329"/>
    <w:rsid w:val="00D708C2"/>
    <w:rsid w:val="00D80ACE"/>
    <w:rsid w:val="00D84940"/>
    <w:rsid w:val="00D91CB7"/>
    <w:rsid w:val="00DF1F3F"/>
    <w:rsid w:val="00DF7045"/>
    <w:rsid w:val="00E31AE8"/>
    <w:rsid w:val="00E42CD0"/>
    <w:rsid w:val="00E4319B"/>
    <w:rsid w:val="00E75C16"/>
    <w:rsid w:val="00EA2886"/>
    <w:rsid w:val="00EE410E"/>
    <w:rsid w:val="00EF48F4"/>
    <w:rsid w:val="00EF6404"/>
    <w:rsid w:val="00F27F29"/>
    <w:rsid w:val="00F44E9C"/>
    <w:rsid w:val="00F81951"/>
    <w:rsid w:val="00F86DF8"/>
    <w:rsid w:val="00F92FC9"/>
    <w:rsid w:val="00F9538F"/>
    <w:rsid w:val="00FC0863"/>
    <w:rsid w:val="00FE18F0"/>
    <w:rsid w:val="00FE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E5DEC2-A7D5-4E95-9F5E-08419D6D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04"/>
  </w:style>
  <w:style w:type="paragraph" w:styleId="Footer">
    <w:name w:val="footer"/>
    <w:basedOn w:val="Normal"/>
    <w:link w:val="FooterChar"/>
    <w:uiPriority w:val="99"/>
    <w:unhideWhenUsed/>
    <w:rsid w:val="00853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04"/>
  </w:style>
  <w:style w:type="character" w:customStyle="1" w:styleId="Heading1Char">
    <w:name w:val="Heading 1 Char"/>
    <w:basedOn w:val="DefaultParagraphFont"/>
    <w:link w:val="Heading1"/>
    <w:uiPriority w:val="9"/>
    <w:rsid w:val="0085380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3804"/>
    <w:pPr>
      <w:spacing w:after="0" w:line="240" w:lineRule="auto"/>
    </w:pPr>
  </w:style>
  <w:style w:type="paragraph" w:styleId="ListParagraph">
    <w:name w:val="List Paragraph"/>
    <w:basedOn w:val="Normal"/>
    <w:uiPriority w:val="34"/>
    <w:qFormat/>
    <w:rsid w:val="00853804"/>
    <w:pPr>
      <w:ind w:left="720"/>
      <w:contextualSpacing/>
    </w:pPr>
  </w:style>
  <w:style w:type="paragraph" w:styleId="BalloonText">
    <w:name w:val="Balloon Text"/>
    <w:basedOn w:val="Normal"/>
    <w:link w:val="BalloonTextChar"/>
    <w:uiPriority w:val="99"/>
    <w:semiHidden/>
    <w:unhideWhenUsed/>
    <w:rsid w:val="00BF6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077"/>
    <w:rPr>
      <w:rFonts w:ascii="Tahoma" w:hAnsi="Tahoma" w:cs="Tahoma"/>
      <w:sz w:val="16"/>
      <w:szCs w:val="16"/>
    </w:rPr>
  </w:style>
  <w:style w:type="character" w:customStyle="1" w:styleId="tx">
    <w:name w:val="tx"/>
    <w:basedOn w:val="DefaultParagraphFont"/>
    <w:rsid w:val="00A55D65"/>
  </w:style>
  <w:style w:type="character" w:styleId="Hyperlink">
    <w:name w:val="Hyperlink"/>
    <w:basedOn w:val="DefaultParagraphFont"/>
    <w:uiPriority w:val="99"/>
    <w:unhideWhenUsed/>
    <w:rsid w:val="00EA2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SOMITS</dc:creator>
  <cp:lastModifiedBy>Johnson, Kelly (CMG-Atlanta)</cp:lastModifiedBy>
  <cp:revision>2</cp:revision>
  <cp:lastPrinted>2017-08-28T12:27:00Z</cp:lastPrinted>
  <dcterms:created xsi:type="dcterms:W3CDTF">2018-02-13T22:00:00Z</dcterms:created>
  <dcterms:modified xsi:type="dcterms:W3CDTF">2018-02-13T22:00:00Z</dcterms:modified>
</cp:coreProperties>
</file>